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4373" w:rsidRDefault="00104373" w:rsidP="00104373">
      <w:pPr>
        <w:pStyle w:val="NormalWeb"/>
        <w:spacing w:before="0" w:beforeAutospacing="0" w:after="0" w:afterAutospacing="0" w:line="360" w:lineRule="auto"/>
        <w:rPr>
          <w:rFonts w:ascii="Palatino Linotype" w:hAnsi="Palatino Linotype"/>
          <w:b/>
          <w:bCs/>
          <w:sz w:val="22"/>
          <w:szCs w:val="22"/>
        </w:rPr>
      </w:pPr>
      <w:r>
        <w:rPr>
          <w:rFonts w:ascii="Palatino Linotype" w:hAnsi="Palatino Linotype"/>
          <w:b/>
          <w:bCs/>
          <w:sz w:val="22"/>
          <w:szCs w:val="22"/>
        </w:rPr>
        <w:t xml:space="preserve">Section 117 </w:t>
      </w:r>
      <w:r w:rsidR="00F6710F">
        <w:rPr>
          <w:rFonts w:ascii="Palatino Linotype" w:hAnsi="Palatino Linotype"/>
          <w:b/>
          <w:bCs/>
          <w:sz w:val="22"/>
          <w:szCs w:val="22"/>
        </w:rPr>
        <w:t>A</w:t>
      </w:r>
      <w:r>
        <w:rPr>
          <w:rFonts w:ascii="Palatino Linotype" w:hAnsi="Palatino Linotype"/>
          <w:b/>
          <w:bCs/>
          <w:sz w:val="22"/>
          <w:szCs w:val="22"/>
        </w:rPr>
        <w:t>fter-care and Ordinary Residence</w:t>
      </w:r>
    </w:p>
    <w:p w:rsidR="00DD5220" w:rsidRDefault="00DD5220" w:rsidP="00104373">
      <w:pPr>
        <w:pStyle w:val="NormalWeb"/>
        <w:spacing w:before="0" w:beforeAutospacing="0" w:after="0" w:afterAutospacing="0" w:line="360" w:lineRule="auto"/>
        <w:rPr>
          <w:rFonts w:ascii="Palatino Linotype" w:hAnsi="Palatino Linotype"/>
          <w:b/>
          <w:bCs/>
          <w:sz w:val="22"/>
          <w:szCs w:val="22"/>
        </w:rPr>
      </w:pPr>
    </w:p>
    <w:p w:rsidR="009C1043" w:rsidRPr="008B772B" w:rsidRDefault="00104796" w:rsidP="008B772B">
      <w:pPr>
        <w:pStyle w:val="NormalWeb"/>
        <w:spacing w:before="0" w:beforeAutospacing="0" w:after="0" w:afterAutospacing="0" w:line="360" w:lineRule="auto"/>
        <w:rPr>
          <w:rFonts w:ascii="Palatino Linotype" w:hAnsi="Palatino Linotype"/>
          <w:sz w:val="22"/>
          <w:szCs w:val="22"/>
        </w:rPr>
      </w:pPr>
      <w:r w:rsidRPr="00DD5220">
        <w:rPr>
          <w:rFonts w:ascii="Palatino Linotype" w:hAnsi="Palatino Linotype"/>
          <w:sz w:val="22"/>
          <w:szCs w:val="22"/>
        </w:rPr>
        <w:t>In</w:t>
      </w:r>
      <w:r>
        <w:rPr>
          <w:rFonts w:ascii="Palatino Linotype" w:hAnsi="Palatino Linotype"/>
          <w:b/>
          <w:bCs/>
          <w:sz w:val="22"/>
          <w:szCs w:val="22"/>
        </w:rPr>
        <w:t xml:space="preserve"> </w:t>
      </w:r>
      <w:r w:rsidRPr="007750A1">
        <w:rPr>
          <w:rFonts w:ascii="Palatino Linotype" w:hAnsi="Palatino Linotype"/>
          <w:b/>
          <w:bCs/>
          <w:i/>
          <w:iCs/>
          <w:sz w:val="22"/>
          <w:szCs w:val="22"/>
        </w:rPr>
        <w:t>R (Worcestershire County Council) v Secretary of State for Health and Social Care</w:t>
      </w:r>
      <w:r w:rsidRPr="00104796">
        <w:rPr>
          <w:rFonts w:ascii="Palatino Linotype" w:hAnsi="Palatino Linotype"/>
          <w:b/>
          <w:bCs/>
          <w:sz w:val="22"/>
          <w:szCs w:val="22"/>
        </w:rPr>
        <w:t xml:space="preserve"> </w:t>
      </w:r>
      <w:r w:rsidR="008B772B" w:rsidRPr="008B772B">
        <w:rPr>
          <w:rFonts w:ascii="Palatino Linotype" w:hAnsi="Palatino Linotype"/>
          <w:sz w:val="22"/>
          <w:szCs w:val="22"/>
        </w:rPr>
        <w:t xml:space="preserve">[2021] EWHC 682 (Admin) </w:t>
      </w:r>
      <w:r>
        <w:rPr>
          <w:rFonts w:ascii="Palatino Linotype" w:hAnsi="Palatino Linotype"/>
          <w:sz w:val="22"/>
          <w:szCs w:val="22"/>
        </w:rPr>
        <w:t xml:space="preserve">the court considered ordinary residence under s. 117 of the Mental Health Act 1983. </w:t>
      </w:r>
      <w:r w:rsidR="00104373">
        <w:rPr>
          <w:rFonts w:ascii="Palatino Linotype" w:hAnsi="Palatino Linotype"/>
          <w:sz w:val="22"/>
          <w:szCs w:val="22"/>
        </w:rPr>
        <w:t xml:space="preserve">The Secretary of State had advanced a new interpretation of s. 117, which differed significantly from </w:t>
      </w:r>
      <w:r w:rsidR="007750A1">
        <w:rPr>
          <w:rFonts w:ascii="Palatino Linotype" w:hAnsi="Palatino Linotype"/>
          <w:sz w:val="22"/>
          <w:szCs w:val="22"/>
        </w:rPr>
        <w:t>his</w:t>
      </w:r>
      <w:r w:rsidR="00104373">
        <w:rPr>
          <w:rFonts w:ascii="Palatino Linotype" w:hAnsi="Palatino Linotype"/>
          <w:sz w:val="22"/>
          <w:szCs w:val="22"/>
        </w:rPr>
        <w:t xml:space="preserve"> own guidance. The court held that the new approach was wrong. Subject to one point of clarification, the court has effectively endorsed the well-understood meaning</w:t>
      </w:r>
      <w:r w:rsidR="00026A02">
        <w:rPr>
          <w:rFonts w:ascii="Palatino Linotype" w:hAnsi="Palatino Linotype"/>
          <w:sz w:val="22"/>
          <w:szCs w:val="22"/>
        </w:rPr>
        <w:t xml:space="preserve"> of s. 117</w:t>
      </w:r>
      <w:r w:rsidR="00104373">
        <w:rPr>
          <w:rFonts w:ascii="Palatino Linotype" w:hAnsi="Palatino Linotype"/>
          <w:sz w:val="22"/>
          <w:szCs w:val="22"/>
        </w:rPr>
        <w:t>, which is reflected in the</w:t>
      </w:r>
      <w:r w:rsidR="00DD5220">
        <w:rPr>
          <w:rFonts w:ascii="Palatino Linotype" w:hAnsi="Palatino Linotype"/>
          <w:sz w:val="22"/>
          <w:szCs w:val="22"/>
        </w:rPr>
        <w:t xml:space="preserve"> Care and Support</w:t>
      </w:r>
      <w:r w:rsidR="00104373">
        <w:rPr>
          <w:rFonts w:ascii="Palatino Linotype" w:hAnsi="Palatino Linotype"/>
          <w:sz w:val="22"/>
          <w:szCs w:val="22"/>
        </w:rPr>
        <w:t xml:space="preserve"> guidance.  </w:t>
      </w:r>
    </w:p>
    <w:p w:rsidR="00104796" w:rsidRDefault="00104796" w:rsidP="00104373">
      <w:pPr>
        <w:pStyle w:val="NormalWeb"/>
        <w:spacing w:before="0" w:beforeAutospacing="0" w:after="0" w:afterAutospacing="0" w:line="360" w:lineRule="auto"/>
        <w:rPr>
          <w:rFonts w:ascii="Palatino Linotype" w:hAnsi="Palatino Linotype"/>
          <w:sz w:val="22"/>
          <w:szCs w:val="22"/>
        </w:rPr>
      </w:pPr>
    </w:p>
    <w:p w:rsidR="00DD5220" w:rsidRPr="00555A9B" w:rsidRDefault="00104796" w:rsidP="00DD5220">
      <w:pPr>
        <w:pStyle w:val="NormalWeb"/>
        <w:spacing w:before="0" w:beforeAutospacing="0" w:after="0" w:afterAutospacing="0" w:line="360" w:lineRule="auto"/>
        <w:rPr>
          <w:rFonts w:ascii="Palatino Linotype" w:hAnsi="Palatino Linotype" w:cs="Arial"/>
          <w:i/>
          <w:iCs/>
          <w:color w:val="0B0C0C"/>
          <w:sz w:val="22"/>
          <w:szCs w:val="22"/>
        </w:rPr>
      </w:pPr>
      <w:r>
        <w:rPr>
          <w:rFonts w:ascii="Palatino Linotype" w:hAnsi="Palatino Linotype"/>
          <w:sz w:val="22"/>
          <w:szCs w:val="22"/>
        </w:rPr>
        <w:t>The statutory guidance</w:t>
      </w:r>
      <w:r w:rsidR="00DD5220">
        <w:rPr>
          <w:rFonts w:ascii="Palatino Linotype" w:hAnsi="Palatino Linotype"/>
          <w:sz w:val="22"/>
          <w:szCs w:val="22"/>
        </w:rPr>
        <w:t xml:space="preserve"> explains that the bodies responsible for s. 117 after-care provision retain responsibility even if they place a person out of area. However, if a person living in out of area s. 117 accommodation is re-detained</w:t>
      </w:r>
      <w:r w:rsidR="007750A1">
        <w:rPr>
          <w:rFonts w:ascii="Palatino Linotype" w:hAnsi="Palatino Linotype"/>
          <w:sz w:val="22"/>
          <w:szCs w:val="22"/>
        </w:rPr>
        <w:t xml:space="preserve"> under s. 3</w:t>
      </w:r>
      <w:r w:rsidR="007750A1">
        <w:rPr>
          <w:rStyle w:val="FootnoteReference"/>
          <w:rFonts w:ascii="Palatino Linotype" w:hAnsi="Palatino Linotype"/>
          <w:sz w:val="22"/>
          <w:szCs w:val="22"/>
        </w:rPr>
        <w:footnoteReference w:id="1"/>
      </w:r>
      <w:r w:rsidR="00DD5220">
        <w:rPr>
          <w:rFonts w:ascii="Palatino Linotype" w:hAnsi="Palatino Linotype"/>
          <w:sz w:val="22"/>
          <w:szCs w:val="22"/>
        </w:rPr>
        <w:t>, the guidance explains that a fresh s. 117 duty arise</w:t>
      </w:r>
      <w:r w:rsidR="00026A02">
        <w:rPr>
          <w:rFonts w:ascii="Palatino Linotype" w:hAnsi="Palatino Linotype"/>
          <w:sz w:val="22"/>
          <w:szCs w:val="22"/>
        </w:rPr>
        <w:t>s</w:t>
      </w:r>
      <w:r w:rsidR="00DD5220">
        <w:rPr>
          <w:rFonts w:ascii="Palatino Linotype" w:hAnsi="Palatino Linotype"/>
          <w:sz w:val="22"/>
          <w:szCs w:val="22"/>
        </w:rPr>
        <w:t>, and that</w:t>
      </w:r>
      <w:r w:rsidR="007750A1">
        <w:rPr>
          <w:rFonts w:ascii="Palatino Linotype" w:hAnsi="Palatino Linotype"/>
          <w:sz w:val="22"/>
          <w:szCs w:val="22"/>
        </w:rPr>
        <w:t xml:space="preserve"> new</w:t>
      </w:r>
      <w:r w:rsidR="00DD5220">
        <w:rPr>
          <w:rFonts w:ascii="Palatino Linotype" w:hAnsi="Palatino Linotype"/>
          <w:sz w:val="22"/>
          <w:szCs w:val="22"/>
        </w:rPr>
        <w:t xml:space="preserve"> duty fall</w:t>
      </w:r>
      <w:r w:rsidR="00026A02">
        <w:rPr>
          <w:rFonts w:ascii="Palatino Linotype" w:hAnsi="Palatino Linotype"/>
          <w:sz w:val="22"/>
          <w:szCs w:val="22"/>
        </w:rPr>
        <w:t>s</w:t>
      </w:r>
      <w:r w:rsidR="00DD5220">
        <w:rPr>
          <w:rFonts w:ascii="Palatino Linotype" w:hAnsi="Palatino Linotype"/>
          <w:sz w:val="22"/>
          <w:szCs w:val="22"/>
        </w:rPr>
        <w:t xml:space="preserve"> o</w:t>
      </w:r>
      <w:r w:rsidR="007750A1">
        <w:rPr>
          <w:rFonts w:ascii="Palatino Linotype" w:hAnsi="Palatino Linotype"/>
          <w:sz w:val="22"/>
          <w:szCs w:val="22"/>
        </w:rPr>
        <w:t>n</w:t>
      </w:r>
      <w:r w:rsidR="00DD5220">
        <w:rPr>
          <w:rFonts w:ascii="Palatino Linotype" w:hAnsi="Palatino Linotype"/>
          <w:sz w:val="22"/>
          <w:szCs w:val="22"/>
        </w:rPr>
        <w:t xml:space="preserve"> the authorities where the person was ordinarily resident before their second detention. A person placed out of area, pursuant to s. 117, could acquire ordinary residence in the place of </w:t>
      </w:r>
      <w:proofErr w:type="spellStart"/>
      <w:r w:rsidR="00DD5220">
        <w:rPr>
          <w:rFonts w:ascii="Palatino Linotype" w:hAnsi="Palatino Linotype"/>
          <w:sz w:val="22"/>
          <w:szCs w:val="22"/>
        </w:rPr>
        <w:t>their s</w:t>
      </w:r>
      <w:proofErr w:type="spellEnd"/>
      <w:r w:rsidR="00DD5220">
        <w:rPr>
          <w:rFonts w:ascii="Palatino Linotype" w:hAnsi="Palatino Linotype"/>
          <w:sz w:val="22"/>
          <w:szCs w:val="22"/>
        </w:rPr>
        <w:t xml:space="preserve">. 117 accommodation. </w:t>
      </w:r>
      <w:r>
        <w:rPr>
          <w:rFonts w:ascii="Palatino Linotype" w:hAnsi="Palatino Linotype"/>
          <w:sz w:val="22"/>
          <w:szCs w:val="22"/>
        </w:rPr>
        <w:t xml:space="preserve"> </w:t>
      </w:r>
    </w:p>
    <w:p w:rsidR="00104796" w:rsidRDefault="00104796" w:rsidP="00104373">
      <w:pPr>
        <w:pStyle w:val="NormalWeb"/>
        <w:spacing w:before="0" w:beforeAutospacing="0" w:after="0" w:afterAutospacing="0" w:line="360" w:lineRule="auto"/>
        <w:rPr>
          <w:rFonts w:ascii="Palatino Linotype" w:hAnsi="Palatino Linotype"/>
          <w:sz w:val="22"/>
          <w:szCs w:val="22"/>
        </w:rPr>
      </w:pPr>
    </w:p>
    <w:p w:rsidR="00104796" w:rsidRDefault="00104796" w:rsidP="00104373">
      <w:pPr>
        <w:pStyle w:val="NormalWeb"/>
        <w:spacing w:before="0" w:beforeAutospacing="0" w:after="0" w:afterAutospacing="0" w:line="360" w:lineRule="auto"/>
        <w:rPr>
          <w:rFonts w:ascii="Palatino Linotype" w:hAnsi="Palatino Linotype"/>
          <w:sz w:val="22"/>
          <w:szCs w:val="22"/>
        </w:rPr>
      </w:pPr>
      <w:r>
        <w:rPr>
          <w:rFonts w:ascii="Palatino Linotype" w:hAnsi="Palatino Linotype"/>
          <w:sz w:val="22"/>
          <w:szCs w:val="22"/>
        </w:rPr>
        <w:t xml:space="preserve">However, in determining a dispute between Worcestershire and Swindon, the Secretary of State decided that his guidance was wrong. The Secretary of State adopted a new interpretation of s. 117, which – he said – gave three reasons why </w:t>
      </w:r>
      <w:r w:rsidR="00104373">
        <w:rPr>
          <w:rFonts w:ascii="Palatino Linotype" w:hAnsi="Palatino Linotype"/>
          <w:sz w:val="22"/>
          <w:szCs w:val="22"/>
        </w:rPr>
        <w:t xml:space="preserve">the </w:t>
      </w:r>
      <w:r w:rsidR="007750A1">
        <w:rPr>
          <w:rFonts w:ascii="Palatino Linotype" w:hAnsi="Palatino Linotype"/>
          <w:sz w:val="22"/>
          <w:szCs w:val="22"/>
        </w:rPr>
        <w:t>person in</w:t>
      </w:r>
      <w:r w:rsidR="00104373">
        <w:rPr>
          <w:rFonts w:ascii="Palatino Linotype" w:hAnsi="Palatino Linotype"/>
          <w:sz w:val="22"/>
          <w:szCs w:val="22"/>
        </w:rPr>
        <w:t xml:space="preserve"> question, ‘JG’, </w:t>
      </w:r>
      <w:r>
        <w:rPr>
          <w:rFonts w:ascii="Palatino Linotype" w:hAnsi="Palatino Linotype"/>
          <w:sz w:val="22"/>
          <w:szCs w:val="22"/>
        </w:rPr>
        <w:t xml:space="preserve">was ordinarily resident in Worcestershire. Worcestershire </w:t>
      </w:r>
      <w:r w:rsidR="007750A1">
        <w:rPr>
          <w:rFonts w:ascii="Palatino Linotype" w:hAnsi="Palatino Linotype"/>
          <w:sz w:val="22"/>
          <w:szCs w:val="22"/>
        </w:rPr>
        <w:t>judicially reviewed t</w:t>
      </w:r>
      <w:r>
        <w:rPr>
          <w:rFonts w:ascii="Palatino Linotype" w:hAnsi="Palatino Linotype"/>
          <w:sz w:val="22"/>
          <w:szCs w:val="22"/>
        </w:rPr>
        <w:t xml:space="preserve">he determination. </w:t>
      </w:r>
    </w:p>
    <w:p w:rsidR="00DD5220" w:rsidRDefault="00DD5220" w:rsidP="00104373">
      <w:pPr>
        <w:pStyle w:val="NormalWeb"/>
        <w:spacing w:before="0" w:beforeAutospacing="0" w:after="0" w:afterAutospacing="0" w:line="360" w:lineRule="auto"/>
        <w:rPr>
          <w:rFonts w:ascii="Palatino Linotype" w:hAnsi="Palatino Linotype"/>
          <w:sz w:val="22"/>
          <w:szCs w:val="22"/>
        </w:rPr>
      </w:pPr>
    </w:p>
    <w:p w:rsidR="00104796" w:rsidRDefault="00104796" w:rsidP="00104373">
      <w:pPr>
        <w:pStyle w:val="NormalWeb"/>
        <w:spacing w:before="0" w:beforeAutospacing="0" w:after="0" w:afterAutospacing="0" w:line="360" w:lineRule="auto"/>
        <w:rPr>
          <w:rFonts w:ascii="Palatino Linotype" w:hAnsi="Palatino Linotype"/>
          <w:sz w:val="22"/>
          <w:szCs w:val="22"/>
        </w:rPr>
      </w:pPr>
      <w:r>
        <w:rPr>
          <w:rFonts w:ascii="Palatino Linotype" w:hAnsi="Palatino Linotype"/>
          <w:sz w:val="22"/>
          <w:szCs w:val="22"/>
        </w:rPr>
        <w:t xml:space="preserve">The three </w:t>
      </w:r>
      <w:r w:rsidR="00DD5220">
        <w:rPr>
          <w:rFonts w:ascii="Palatino Linotype" w:hAnsi="Palatino Linotype"/>
          <w:sz w:val="22"/>
          <w:szCs w:val="22"/>
        </w:rPr>
        <w:t>propositions</w:t>
      </w:r>
      <w:r>
        <w:rPr>
          <w:rFonts w:ascii="Palatino Linotype" w:hAnsi="Palatino Linotype"/>
          <w:sz w:val="22"/>
          <w:szCs w:val="22"/>
        </w:rPr>
        <w:t>, adopted by the Secretary of State, were:</w:t>
      </w:r>
    </w:p>
    <w:p w:rsidR="0090224B" w:rsidRPr="00DD5220" w:rsidRDefault="00104796" w:rsidP="00104373">
      <w:pPr>
        <w:pStyle w:val="NormalWeb"/>
        <w:numPr>
          <w:ilvl w:val="0"/>
          <w:numId w:val="1"/>
        </w:numPr>
        <w:spacing w:before="0" w:beforeAutospacing="0" w:after="0" w:afterAutospacing="0" w:line="360" w:lineRule="auto"/>
        <w:rPr>
          <w:rFonts w:ascii="Palatino Linotype" w:hAnsi="Palatino Linotype"/>
          <w:sz w:val="22"/>
          <w:szCs w:val="22"/>
        </w:rPr>
      </w:pPr>
      <w:r w:rsidRPr="00DD5220">
        <w:rPr>
          <w:rFonts w:ascii="Palatino Linotype" w:hAnsi="Palatino Linotype"/>
          <w:sz w:val="22"/>
          <w:szCs w:val="22"/>
        </w:rPr>
        <w:t>That where local authority A places a person in accommodation, pursuant to s. 117, in area B, the person remains ordinarily resident in area A</w:t>
      </w:r>
      <w:r w:rsidR="007750A1">
        <w:rPr>
          <w:rFonts w:ascii="Palatino Linotype" w:hAnsi="Palatino Linotype"/>
          <w:sz w:val="22"/>
          <w:szCs w:val="22"/>
        </w:rPr>
        <w:t xml:space="preserve"> </w:t>
      </w:r>
      <w:r w:rsidRPr="00DD5220">
        <w:rPr>
          <w:rFonts w:ascii="Palatino Linotype" w:hAnsi="Palatino Linotype"/>
          <w:sz w:val="22"/>
          <w:szCs w:val="22"/>
        </w:rPr>
        <w:t xml:space="preserve">for as long as they live in accommodation commissioned by local authority A. This, the Secretary of State argued, was the </w:t>
      </w:r>
      <w:r w:rsidR="0090224B" w:rsidRPr="00DD5220">
        <w:rPr>
          <w:rFonts w:ascii="Palatino Linotype" w:hAnsi="Palatino Linotype"/>
          <w:sz w:val="22"/>
          <w:szCs w:val="22"/>
        </w:rPr>
        <w:t xml:space="preserve">position given the </w:t>
      </w:r>
      <w:r w:rsidRPr="00DD5220">
        <w:rPr>
          <w:rFonts w:ascii="Palatino Linotype" w:hAnsi="Palatino Linotype"/>
          <w:sz w:val="22"/>
          <w:szCs w:val="22"/>
        </w:rPr>
        <w:t>decision of the</w:t>
      </w:r>
      <w:r w:rsidRPr="00104796">
        <w:rPr>
          <w:rFonts w:ascii="Palatino Linotype" w:hAnsi="Palatino Linotype"/>
          <w:sz w:val="22"/>
          <w:szCs w:val="22"/>
        </w:rPr>
        <w:t xml:space="preserve"> Supreme Court in </w:t>
      </w:r>
      <w:r w:rsidRPr="00104796">
        <w:rPr>
          <w:rFonts w:ascii="Palatino Linotype" w:hAnsi="Palatino Linotype"/>
          <w:b/>
          <w:bCs/>
          <w:i/>
          <w:iCs/>
          <w:sz w:val="22"/>
          <w:szCs w:val="22"/>
        </w:rPr>
        <w:t>R (Cornwall CC) v Secretary of State for Health</w:t>
      </w:r>
      <w:r w:rsidRPr="00104796">
        <w:rPr>
          <w:rFonts w:ascii="Palatino Linotype" w:hAnsi="Palatino Linotype"/>
          <w:b/>
          <w:bCs/>
          <w:sz w:val="22"/>
          <w:szCs w:val="22"/>
        </w:rPr>
        <w:t xml:space="preserve"> </w:t>
      </w:r>
      <w:r w:rsidRPr="00104796">
        <w:rPr>
          <w:rFonts w:ascii="Palatino Linotype" w:hAnsi="Palatino Linotype"/>
          <w:sz w:val="22"/>
          <w:szCs w:val="22"/>
        </w:rPr>
        <w:t>[2016] AC 137</w:t>
      </w:r>
      <w:r w:rsidR="007750A1">
        <w:rPr>
          <w:rFonts w:ascii="Palatino Linotype" w:hAnsi="Palatino Linotype"/>
          <w:sz w:val="22"/>
          <w:szCs w:val="22"/>
        </w:rPr>
        <w:t>;</w:t>
      </w:r>
    </w:p>
    <w:p w:rsidR="00104373" w:rsidRPr="00104373" w:rsidRDefault="00104373" w:rsidP="00104373">
      <w:pPr>
        <w:pStyle w:val="NormalWeb"/>
        <w:spacing w:before="0" w:beforeAutospacing="0" w:after="0" w:afterAutospacing="0" w:line="360" w:lineRule="auto"/>
        <w:ind w:left="720"/>
        <w:rPr>
          <w:rFonts w:ascii="Palatino Linotype" w:hAnsi="Palatino Linotype"/>
          <w:sz w:val="22"/>
          <w:szCs w:val="22"/>
        </w:rPr>
      </w:pPr>
    </w:p>
    <w:p w:rsidR="0090224B" w:rsidRDefault="00104796" w:rsidP="00104373">
      <w:pPr>
        <w:numPr>
          <w:ilvl w:val="0"/>
          <w:numId w:val="1"/>
        </w:numPr>
        <w:spacing w:line="360" w:lineRule="auto"/>
        <w:rPr>
          <w:rFonts w:ascii="Palatino Linotype" w:eastAsia="Times New Roman" w:hAnsi="Palatino Linotype" w:cs="Times New Roman"/>
          <w:sz w:val="22"/>
          <w:szCs w:val="22"/>
          <w:lang w:eastAsia="en-GB"/>
        </w:rPr>
      </w:pPr>
      <w:r w:rsidRPr="00104796">
        <w:rPr>
          <w:rFonts w:ascii="Palatino Linotype" w:eastAsia="Times New Roman" w:hAnsi="Palatino Linotype" w:cs="Times New Roman"/>
          <w:sz w:val="22"/>
          <w:szCs w:val="22"/>
          <w:lang w:eastAsia="en-GB"/>
        </w:rPr>
        <w:lastRenderedPageBreak/>
        <w:t xml:space="preserve">that where there has been a period of </w:t>
      </w:r>
      <w:r w:rsidR="0090224B">
        <w:rPr>
          <w:rFonts w:ascii="Palatino Linotype" w:eastAsia="Times New Roman" w:hAnsi="Palatino Linotype" w:cs="Times New Roman"/>
          <w:sz w:val="22"/>
          <w:szCs w:val="22"/>
          <w:lang w:eastAsia="en-GB"/>
        </w:rPr>
        <w:t xml:space="preserve">s. 3 </w:t>
      </w:r>
      <w:r w:rsidRPr="00104796">
        <w:rPr>
          <w:rFonts w:ascii="Palatino Linotype" w:eastAsia="Times New Roman" w:hAnsi="Palatino Linotype" w:cs="Times New Roman"/>
          <w:sz w:val="22"/>
          <w:szCs w:val="22"/>
          <w:lang w:eastAsia="en-GB"/>
        </w:rPr>
        <w:t>detention immediately followed by a period of after-care</w:t>
      </w:r>
      <w:r w:rsidR="0090224B">
        <w:rPr>
          <w:rFonts w:ascii="Palatino Linotype" w:eastAsia="Times New Roman" w:hAnsi="Palatino Linotype" w:cs="Times New Roman"/>
          <w:sz w:val="22"/>
          <w:szCs w:val="22"/>
          <w:lang w:eastAsia="en-GB"/>
        </w:rPr>
        <w:t>,</w:t>
      </w:r>
      <w:r w:rsidR="007750A1">
        <w:rPr>
          <w:rFonts w:ascii="Palatino Linotype" w:eastAsia="Times New Roman" w:hAnsi="Palatino Linotype" w:cs="Times New Roman"/>
          <w:sz w:val="22"/>
          <w:szCs w:val="22"/>
          <w:lang w:eastAsia="en-GB"/>
        </w:rPr>
        <w:t xml:space="preserve"> then</w:t>
      </w:r>
      <w:r w:rsidRPr="00104796">
        <w:rPr>
          <w:rFonts w:ascii="Palatino Linotype" w:eastAsia="Times New Roman" w:hAnsi="Palatino Linotype" w:cs="Times New Roman"/>
          <w:sz w:val="22"/>
          <w:szCs w:val="22"/>
          <w:lang w:eastAsia="en-GB"/>
        </w:rPr>
        <w:t xml:space="preserve"> immediately followed by a second period of detention, </w:t>
      </w:r>
      <w:r w:rsidR="00DD5220">
        <w:rPr>
          <w:rFonts w:ascii="Palatino Linotype" w:eastAsia="Times New Roman" w:hAnsi="Palatino Linotype" w:cs="Times New Roman"/>
          <w:sz w:val="22"/>
          <w:szCs w:val="22"/>
          <w:lang w:eastAsia="en-GB"/>
        </w:rPr>
        <w:t xml:space="preserve">the s. 117 duty falls on the authorities for the area where the patient was ordinarily resident immediately before their </w:t>
      </w:r>
      <w:r w:rsidRPr="00104796">
        <w:rPr>
          <w:rFonts w:ascii="Palatino Linotype" w:eastAsia="Times New Roman" w:hAnsi="Palatino Linotype" w:cs="Times New Roman"/>
          <w:sz w:val="22"/>
          <w:szCs w:val="22"/>
          <w:u w:val="single"/>
          <w:lang w:eastAsia="en-GB"/>
        </w:rPr>
        <w:t>first</w:t>
      </w:r>
      <w:r w:rsidRPr="00104796">
        <w:rPr>
          <w:rFonts w:ascii="Palatino Linotype" w:eastAsia="Times New Roman" w:hAnsi="Palatino Linotype" w:cs="Times New Roman"/>
          <w:sz w:val="22"/>
          <w:szCs w:val="22"/>
          <w:lang w:eastAsia="en-GB"/>
        </w:rPr>
        <w:t xml:space="preserve"> </w:t>
      </w:r>
      <w:r w:rsidR="00DD5220">
        <w:rPr>
          <w:rFonts w:ascii="Palatino Linotype" w:eastAsia="Times New Roman" w:hAnsi="Palatino Linotype" w:cs="Times New Roman"/>
          <w:sz w:val="22"/>
          <w:szCs w:val="22"/>
          <w:lang w:eastAsia="en-GB"/>
        </w:rPr>
        <w:t>period of detention (</w:t>
      </w:r>
      <w:r w:rsidRPr="00104796">
        <w:rPr>
          <w:rFonts w:ascii="Palatino Linotype" w:eastAsia="Times New Roman" w:hAnsi="Palatino Linotype" w:cs="Times New Roman"/>
          <w:sz w:val="22"/>
          <w:szCs w:val="22"/>
          <w:lang w:eastAsia="en-GB"/>
        </w:rPr>
        <w:t xml:space="preserve">rather than </w:t>
      </w:r>
      <w:r w:rsidR="00DD5220">
        <w:rPr>
          <w:rFonts w:ascii="Palatino Linotype" w:eastAsia="Times New Roman" w:hAnsi="Palatino Linotype" w:cs="Times New Roman"/>
          <w:sz w:val="22"/>
          <w:szCs w:val="22"/>
          <w:lang w:eastAsia="en-GB"/>
        </w:rPr>
        <w:t xml:space="preserve">falling on the authorities for the area where the patient was ordinarily resident </w:t>
      </w:r>
      <w:r w:rsidRPr="00104796">
        <w:rPr>
          <w:rFonts w:ascii="Palatino Linotype" w:eastAsia="Times New Roman" w:hAnsi="Palatino Linotype" w:cs="Times New Roman"/>
          <w:sz w:val="22"/>
          <w:szCs w:val="22"/>
          <w:lang w:eastAsia="en-GB"/>
        </w:rPr>
        <w:t>immediately before their most recent period of detention</w:t>
      </w:r>
      <w:r w:rsidR="00DD5220">
        <w:rPr>
          <w:rFonts w:ascii="Palatino Linotype" w:eastAsia="Times New Roman" w:hAnsi="Palatino Linotype" w:cs="Times New Roman"/>
          <w:sz w:val="22"/>
          <w:szCs w:val="22"/>
          <w:lang w:eastAsia="en-GB"/>
        </w:rPr>
        <w:t>); and</w:t>
      </w:r>
      <w:r w:rsidR="0090224B">
        <w:rPr>
          <w:rFonts w:ascii="Palatino Linotype" w:eastAsia="Times New Roman" w:hAnsi="Palatino Linotype" w:cs="Times New Roman"/>
          <w:sz w:val="22"/>
          <w:szCs w:val="22"/>
          <w:lang w:eastAsia="en-GB"/>
        </w:rPr>
        <w:t xml:space="preserve"> </w:t>
      </w:r>
    </w:p>
    <w:p w:rsidR="0090224B" w:rsidRDefault="0090224B" w:rsidP="00104373">
      <w:pPr>
        <w:pStyle w:val="ListParagraph"/>
        <w:spacing w:line="360" w:lineRule="auto"/>
        <w:rPr>
          <w:rFonts w:ascii="Palatino Linotype" w:eastAsia="Times New Roman" w:hAnsi="Palatino Linotype" w:cs="Times New Roman"/>
          <w:sz w:val="22"/>
          <w:szCs w:val="22"/>
          <w:lang w:eastAsia="en-GB"/>
        </w:rPr>
      </w:pPr>
    </w:p>
    <w:p w:rsidR="00104796" w:rsidRDefault="0090224B" w:rsidP="00104373">
      <w:pPr>
        <w:numPr>
          <w:ilvl w:val="0"/>
          <w:numId w:val="1"/>
        </w:num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That the s. 117 duty continues unless and until the responsible bodies take a conscious decision to discharge the patient, and that a second period of detention under s. 3 does</w:t>
      </w:r>
      <w:r w:rsidR="007750A1">
        <w:rPr>
          <w:rFonts w:ascii="Palatino Linotype" w:eastAsia="Times New Roman" w:hAnsi="Palatino Linotype" w:cs="Times New Roman"/>
          <w:sz w:val="22"/>
          <w:szCs w:val="22"/>
          <w:lang w:eastAsia="en-GB"/>
        </w:rPr>
        <w:t xml:space="preserve"> not</w:t>
      </w:r>
      <w:r>
        <w:rPr>
          <w:rFonts w:ascii="Palatino Linotype" w:eastAsia="Times New Roman" w:hAnsi="Palatino Linotype" w:cs="Times New Roman"/>
          <w:sz w:val="22"/>
          <w:szCs w:val="22"/>
          <w:lang w:eastAsia="en-GB"/>
        </w:rPr>
        <w:t>, itself, terminate the prior s. 117 duty</w:t>
      </w:r>
      <w:r w:rsidR="00DD5220">
        <w:rPr>
          <w:rFonts w:ascii="Palatino Linotype" w:eastAsia="Times New Roman" w:hAnsi="Palatino Linotype" w:cs="Times New Roman"/>
          <w:sz w:val="22"/>
          <w:szCs w:val="22"/>
          <w:lang w:eastAsia="en-GB"/>
        </w:rPr>
        <w:t xml:space="preserve"> - such that the</w:t>
      </w:r>
      <w:r w:rsidR="00026A02">
        <w:rPr>
          <w:rFonts w:ascii="Palatino Linotype" w:eastAsia="Times New Roman" w:hAnsi="Palatino Linotype" w:cs="Times New Roman"/>
          <w:sz w:val="22"/>
          <w:szCs w:val="22"/>
          <w:lang w:eastAsia="en-GB"/>
        </w:rPr>
        <w:t xml:space="preserve"> original</w:t>
      </w:r>
      <w:r w:rsidR="00DD5220">
        <w:rPr>
          <w:rFonts w:ascii="Palatino Linotype" w:eastAsia="Times New Roman" w:hAnsi="Palatino Linotype" w:cs="Times New Roman"/>
          <w:sz w:val="22"/>
          <w:szCs w:val="22"/>
          <w:lang w:eastAsia="en-GB"/>
        </w:rPr>
        <w:t xml:space="preserve"> duty can continue during, and </w:t>
      </w:r>
      <w:r w:rsidR="007750A1">
        <w:rPr>
          <w:rFonts w:ascii="Palatino Linotype" w:eastAsia="Times New Roman" w:hAnsi="Palatino Linotype" w:cs="Times New Roman"/>
          <w:sz w:val="22"/>
          <w:szCs w:val="22"/>
          <w:lang w:eastAsia="en-GB"/>
        </w:rPr>
        <w:t xml:space="preserve">then </w:t>
      </w:r>
      <w:r w:rsidR="00DD5220">
        <w:rPr>
          <w:rFonts w:ascii="Palatino Linotype" w:eastAsia="Times New Roman" w:hAnsi="Palatino Linotype" w:cs="Times New Roman"/>
          <w:sz w:val="22"/>
          <w:szCs w:val="22"/>
          <w:lang w:eastAsia="en-GB"/>
        </w:rPr>
        <w:t xml:space="preserve">beyond, a </w:t>
      </w:r>
      <w:r w:rsidR="007750A1">
        <w:rPr>
          <w:rFonts w:ascii="Palatino Linotype" w:eastAsia="Times New Roman" w:hAnsi="Palatino Linotype" w:cs="Times New Roman"/>
          <w:sz w:val="22"/>
          <w:szCs w:val="22"/>
          <w:lang w:eastAsia="en-GB"/>
        </w:rPr>
        <w:t>second</w:t>
      </w:r>
      <w:r w:rsidR="00DD5220">
        <w:rPr>
          <w:rFonts w:ascii="Palatino Linotype" w:eastAsia="Times New Roman" w:hAnsi="Palatino Linotype" w:cs="Times New Roman"/>
          <w:sz w:val="22"/>
          <w:szCs w:val="22"/>
          <w:lang w:eastAsia="en-GB"/>
        </w:rPr>
        <w:t xml:space="preserve"> period of s. 3 detention. </w:t>
      </w:r>
    </w:p>
    <w:p w:rsidR="0090224B" w:rsidRDefault="0090224B" w:rsidP="00104373">
      <w:pPr>
        <w:pStyle w:val="ListParagraph"/>
        <w:spacing w:line="360" w:lineRule="auto"/>
        <w:rPr>
          <w:rFonts w:ascii="Palatino Linotype" w:eastAsia="Times New Roman" w:hAnsi="Palatino Linotype" w:cs="Times New Roman"/>
          <w:sz w:val="22"/>
          <w:szCs w:val="22"/>
          <w:lang w:eastAsia="en-GB"/>
        </w:rPr>
      </w:pPr>
    </w:p>
    <w:p w:rsidR="0090224B" w:rsidRDefault="0090224B"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 xml:space="preserve">The court rejected all three of the Secretary of State’s propositions. </w:t>
      </w:r>
    </w:p>
    <w:p w:rsidR="00104373" w:rsidRDefault="00104373" w:rsidP="00104373">
      <w:pPr>
        <w:spacing w:line="360" w:lineRule="auto"/>
        <w:rPr>
          <w:rFonts w:ascii="Palatino Linotype" w:eastAsia="Times New Roman" w:hAnsi="Palatino Linotype" w:cs="Times New Roman"/>
          <w:sz w:val="22"/>
          <w:szCs w:val="22"/>
          <w:lang w:eastAsia="en-GB"/>
        </w:rPr>
      </w:pPr>
    </w:p>
    <w:p w:rsidR="001E2274" w:rsidRPr="001E2274" w:rsidRDefault="001E2274" w:rsidP="00104373">
      <w:pPr>
        <w:spacing w:line="360" w:lineRule="auto"/>
        <w:rPr>
          <w:rFonts w:ascii="Palatino Linotype" w:eastAsia="Times New Roman" w:hAnsi="Palatino Linotype" w:cs="Times New Roman"/>
          <w:i/>
          <w:iCs/>
          <w:sz w:val="22"/>
          <w:szCs w:val="22"/>
          <w:lang w:eastAsia="en-GB"/>
        </w:rPr>
      </w:pPr>
      <w:r>
        <w:rPr>
          <w:rFonts w:ascii="Palatino Linotype" w:eastAsia="Times New Roman" w:hAnsi="Palatino Linotype" w:cs="Times New Roman"/>
          <w:i/>
          <w:iCs/>
          <w:sz w:val="22"/>
          <w:szCs w:val="22"/>
          <w:lang w:eastAsia="en-GB"/>
        </w:rPr>
        <w:t xml:space="preserve">Proposition 1 </w:t>
      </w:r>
    </w:p>
    <w:p w:rsidR="006F4651" w:rsidRDefault="0090224B"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 xml:space="preserve">In </w:t>
      </w:r>
      <w:r>
        <w:rPr>
          <w:rFonts w:ascii="Palatino Linotype" w:eastAsia="Times New Roman" w:hAnsi="Palatino Linotype" w:cs="Times New Roman"/>
          <w:b/>
          <w:bCs/>
          <w:i/>
          <w:iCs/>
          <w:sz w:val="22"/>
          <w:szCs w:val="22"/>
          <w:lang w:eastAsia="en-GB"/>
        </w:rPr>
        <w:t>Cornwall</w:t>
      </w:r>
      <w:r>
        <w:rPr>
          <w:rFonts w:ascii="Palatino Linotype" w:eastAsia="Times New Roman" w:hAnsi="Palatino Linotype" w:cs="Times New Roman"/>
          <w:sz w:val="22"/>
          <w:szCs w:val="22"/>
          <w:lang w:eastAsia="en-GB"/>
        </w:rPr>
        <w:t>, the court’s task was to determine where a young man was ordinarily resident, for the purposes of the National Assistance Act 1948, when he turned 18. The man had been in receipt of services under the Children Act 1989, until his 18</w:t>
      </w:r>
      <w:r w:rsidRPr="0090224B">
        <w:rPr>
          <w:rFonts w:ascii="Palatino Linotype" w:eastAsia="Times New Roman" w:hAnsi="Palatino Linotype" w:cs="Times New Roman"/>
          <w:sz w:val="22"/>
          <w:szCs w:val="22"/>
          <w:vertAlign w:val="superscript"/>
          <w:lang w:eastAsia="en-GB"/>
        </w:rPr>
        <w:t>th</w:t>
      </w:r>
      <w:r>
        <w:rPr>
          <w:rFonts w:ascii="Palatino Linotype" w:eastAsia="Times New Roman" w:hAnsi="Palatino Linotype" w:cs="Times New Roman"/>
          <w:sz w:val="22"/>
          <w:szCs w:val="22"/>
          <w:lang w:eastAsia="en-GB"/>
        </w:rPr>
        <w:t xml:space="preserve"> birthday. </w:t>
      </w:r>
      <w:r w:rsidR="00E76A85">
        <w:rPr>
          <w:rFonts w:ascii="Palatino Linotype" w:eastAsia="Times New Roman" w:hAnsi="Palatino Linotype" w:cs="Times New Roman"/>
          <w:sz w:val="22"/>
          <w:szCs w:val="22"/>
          <w:lang w:eastAsia="en-GB"/>
        </w:rPr>
        <w:t xml:space="preserve">The Supreme Court held that the man remained ordinarily resident in the area of the local authority which had owed him duties under the 1989 Act, despite him not having lived in that authority’s area for many years. </w:t>
      </w:r>
      <w:r w:rsidR="00104373">
        <w:rPr>
          <w:rFonts w:ascii="Palatino Linotype" w:eastAsia="Times New Roman" w:hAnsi="Palatino Linotype" w:cs="Times New Roman"/>
          <w:sz w:val="22"/>
          <w:szCs w:val="22"/>
          <w:lang w:eastAsia="en-GB"/>
        </w:rPr>
        <w:t>The result of</w:t>
      </w:r>
      <w:r w:rsidR="00E76A85">
        <w:rPr>
          <w:rFonts w:ascii="Palatino Linotype" w:eastAsia="Times New Roman" w:hAnsi="Palatino Linotype" w:cs="Times New Roman"/>
          <w:sz w:val="22"/>
          <w:szCs w:val="22"/>
          <w:lang w:eastAsia="en-GB"/>
        </w:rPr>
        <w:t xml:space="preserve"> </w:t>
      </w:r>
      <w:r w:rsidR="00E76A85">
        <w:rPr>
          <w:rFonts w:ascii="Palatino Linotype" w:eastAsia="Times New Roman" w:hAnsi="Palatino Linotype" w:cs="Times New Roman"/>
          <w:b/>
          <w:bCs/>
          <w:i/>
          <w:iCs/>
          <w:sz w:val="22"/>
          <w:szCs w:val="22"/>
          <w:lang w:eastAsia="en-GB"/>
        </w:rPr>
        <w:t>Cornwall</w:t>
      </w:r>
      <w:r w:rsidR="00104373">
        <w:rPr>
          <w:rFonts w:ascii="Palatino Linotype" w:eastAsia="Times New Roman" w:hAnsi="Palatino Linotype" w:cs="Times New Roman"/>
          <w:sz w:val="22"/>
          <w:szCs w:val="22"/>
          <w:lang w:eastAsia="en-GB"/>
        </w:rPr>
        <w:t xml:space="preserve">, so the Secretary of State argued, </w:t>
      </w:r>
      <w:r w:rsidR="001E2274">
        <w:rPr>
          <w:rFonts w:ascii="Palatino Linotype" w:eastAsia="Times New Roman" w:hAnsi="Palatino Linotype" w:cs="Times New Roman"/>
          <w:sz w:val="22"/>
          <w:szCs w:val="22"/>
          <w:lang w:eastAsia="en-GB"/>
        </w:rPr>
        <w:t>i</w:t>
      </w:r>
      <w:r w:rsidR="00104373">
        <w:rPr>
          <w:rFonts w:ascii="Palatino Linotype" w:eastAsia="Times New Roman" w:hAnsi="Palatino Linotype" w:cs="Times New Roman"/>
          <w:sz w:val="22"/>
          <w:szCs w:val="22"/>
          <w:lang w:eastAsia="en-GB"/>
        </w:rPr>
        <w:t>s that in</w:t>
      </w:r>
      <w:r w:rsidR="00E76A85">
        <w:rPr>
          <w:rFonts w:ascii="Palatino Linotype" w:eastAsia="Times New Roman" w:hAnsi="Palatino Linotype" w:cs="Times New Roman"/>
          <w:sz w:val="22"/>
          <w:szCs w:val="22"/>
          <w:lang w:eastAsia="en-GB"/>
        </w:rPr>
        <w:t xml:space="preserve">dividuals are to be treated as ordinarily resident in the area of whichever local authority is responsible for providing their accommodation and care. </w:t>
      </w:r>
      <w:r w:rsidR="001E2274">
        <w:rPr>
          <w:rFonts w:ascii="Palatino Linotype" w:eastAsia="Times New Roman" w:hAnsi="Palatino Linotype" w:cs="Times New Roman"/>
          <w:sz w:val="22"/>
          <w:szCs w:val="22"/>
          <w:lang w:eastAsia="en-GB"/>
        </w:rPr>
        <w:t>In the case of</w:t>
      </w:r>
      <w:r w:rsidR="00104373">
        <w:rPr>
          <w:rFonts w:ascii="Palatino Linotype" w:eastAsia="Times New Roman" w:hAnsi="Palatino Linotype" w:cs="Times New Roman"/>
          <w:sz w:val="22"/>
          <w:szCs w:val="22"/>
          <w:lang w:eastAsia="en-GB"/>
        </w:rPr>
        <w:t xml:space="preserve"> s. 117, local</w:t>
      </w:r>
      <w:r w:rsidR="00E76A85">
        <w:rPr>
          <w:rFonts w:ascii="Palatino Linotype" w:eastAsia="Times New Roman" w:hAnsi="Palatino Linotype" w:cs="Times New Roman"/>
          <w:sz w:val="22"/>
          <w:szCs w:val="22"/>
          <w:lang w:eastAsia="en-GB"/>
        </w:rPr>
        <w:t xml:space="preserve"> authority A remains responsible for providing s. 117 services even if it places a </w:t>
      </w:r>
      <w:r w:rsidR="00104373">
        <w:rPr>
          <w:rFonts w:ascii="Palatino Linotype" w:eastAsia="Times New Roman" w:hAnsi="Palatino Linotype" w:cs="Times New Roman"/>
          <w:sz w:val="22"/>
          <w:szCs w:val="22"/>
          <w:lang w:eastAsia="en-GB"/>
        </w:rPr>
        <w:t xml:space="preserve">person </w:t>
      </w:r>
      <w:r w:rsidR="00E76A85">
        <w:rPr>
          <w:rFonts w:ascii="Palatino Linotype" w:eastAsia="Times New Roman" w:hAnsi="Palatino Linotype" w:cs="Times New Roman"/>
          <w:sz w:val="22"/>
          <w:szCs w:val="22"/>
          <w:lang w:eastAsia="en-GB"/>
        </w:rPr>
        <w:t>in a care home in area B</w:t>
      </w:r>
      <w:r w:rsidR="00104373">
        <w:rPr>
          <w:rFonts w:ascii="Palatino Linotype" w:eastAsia="Times New Roman" w:hAnsi="Palatino Linotype" w:cs="Times New Roman"/>
          <w:sz w:val="22"/>
          <w:szCs w:val="22"/>
          <w:lang w:eastAsia="en-GB"/>
        </w:rPr>
        <w:t>. The Secretary of State said that</w:t>
      </w:r>
      <w:r w:rsidR="00E76A85">
        <w:rPr>
          <w:rFonts w:ascii="Palatino Linotype" w:eastAsia="Times New Roman" w:hAnsi="Palatino Linotype" w:cs="Times New Roman"/>
          <w:sz w:val="22"/>
          <w:szCs w:val="22"/>
          <w:lang w:eastAsia="en-GB"/>
        </w:rPr>
        <w:t xml:space="preserve"> it must follow, per </w:t>
      </w:r>
      <w:r w:rsidR="00E76A85">
        <w:rPr>
          <w:rFonts w:ascii="Palatino Linotype" w:eastAsia="Times New Roman" w:hAnsi="Palatino Linotype" w:cs="Times New Roman"/>
          <w:b/>
          <w:bCs/>
          <w:i/>
          <w:iCs/>
          <w:sz w:val="22"/>
          <w:szCs w:val="22"/>
          <w:lang w:eastAsia="en-GB"/>
        </w:rPr>
        <w:t>Cornwall</w:t>
      </w:r>
      <w:r w:rsidR="00E76A85">
        <w:rPr>
          <w:rFonts w:ascii="Palatino Linotype" w:eastAsia="Times New Roman" w:hAnsi="Palatino Linotype" w:cs="Times New Roman"/>
          <w:sz w:val="22"/>
          <w:szCs w:val="22"/>
          <w:lang w:eastAsia="en-GB"/>
        </w:rPr>
        <w:t xml:space="preserve">, the patient should be regarded as remaining ordinarily resident in area A – because area A retained financial responsibility for the placement. </w:t>
      </w:r>
    </w:p>
    <w:p w:rsidR="006F4651" w:rsidRDefault="006F4651" w:rsidP="00104373">
      <w:pPr>
        <w:spacing w:line="360" w:lineRule="auto"/>
        <w:rPr>
          <w:rFonts w:ascii="Palatino Linotype" w:eastAsia="Times New Roman" w:hAnsi="Palatino Linotype" w:cs="Times New Roman"/>
          <w:sz w:val="22"/>
          <w:szCs w:val="22"/>
          <w:lang w:eastAsia="en-GB"/>
        </w:rPr>
      </w:pPr>
    </w:p>
    <w:p w:rsidR="0090224B" w:rsidRDefault="00E76A85"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However,</w:t>
      </w:r>
      <w:r w:rsidR="0090224B">
        <w:rPr>
          <w:rFonts w:ascii="Palatino Linotype" w:eastAsia="Times New Roman" w:hAnsi="Palatino Linotype" w:cs="Times New Roman"/>
          <w:sz w:val="22"/>
          <w:szCs w:val="22"/>
          <w:lang w:eastAsia="en-GB"/>
        </w:rPr>
        <w:t xml:space="preserve"> properly analysed, the Supreme Court </w:t>
      </w:r>
      <w:r w:rsidR="007750A1">
        <w:rPr>
          <w:rFonts w:ascii="Palatino Linotype" w:eastAsia="Times New Roman" w:hAnsi="Palatino Linotype" w:cs="Times New Roman"/>
          <w:sz w:val="22"/>
          <w:szCs w:val="22"/>
          <w:lang w:eastAsia="en-GB"/>
        </w:rPr>
        <w:t xml:space="preserve">only </w:t>
      </w:r>
      <w:r w:rsidR="0090224B">
        <w:rPr>
          <w:rFonts w:ascii="Palatino Linotype" w:eastAsia="Times New Roman" w:hAnsi="Palatino Linotype" w:cs="Times New Roman"/>
          <w:sz w:val="22"/>
          <w:szCs w:val="22"/>
          <w:lang w:eastAsia="en-GB"/>
        </w:rPr>
        <w:t xml:space="preserve">interpreted </w:t>
      </w:r>
      <w:r w:rsidR="0090224B" w:rsidRPr="007750A1">
        <w:rPr>
          <w:rFonts w:ascii="Palatino Linotype" w:eastAsia="Times New Roman" w:hAnsi="Palatino Linotype" w:cs="Times New Roman"/>
          <w:i/>
          <w:iCs/>
          <w:sz w:val="22"/>
          <w:szCs w:val="22"/>
          <w:lang w:eastAsia="en-GB"/>
        </w:rPr>
        <w:t>ordinary residence</w:t>
      </w:r>
      <w:r w:rsidR="0090224B">
        <w:rPr>
          <w:rFonts w:ascii="Palatino Linotype" w:eastAsia="Times New Roman" w:hAnsi="Palatino Linotype" w:cs="Times New Roman"/>
          <w:sz w:val="22"/>
          <w:szCs w:val="22"/>
          <w:lang w:eastAsia="en-GB"/>
        </w:rPr>
        <w:t xml:space="preserve"> under the 1984 Act by reference to the 1989 Act, because both Acts included deeming provisions, i.e. provisions which said that the provision of accommodation, under the Act, did not alter </w:t>
      </w:r>
      <w:r w:rsidR="0090224B">
        <w:rPr>
          <w:rFonts w:ascii="Palatino Linotype" w:eastAsia="Times New Roman" w:hAnsi="Palatino Linotype" w:cs="Times New Roman"/>
          <w:sz w:val="22"/>
          <w:szCs w:val="22"/>
          <w:lang w:eastAsia="en-GB"/>
        </w:rPr>
        <w:lastRenderedPageBreak/>
        <w:t xml:space="preserve">the person’s ordinary residence. The court held that s. 117 is materially different to the provision considered in </w:t>
      </w:r>
      <w:r w:rsidR="0090224B">
        <w:rPr>
          <w:rFonts w:ascii="Palatino Linotype" w:eastAsia="Times New Roman" w:hAnsi="Palatino Linotype" w:cs="Times New Roman"/>
          <w:b/>
          <w:bCs/>
          <w:i/>
          <w:iCs/>
          <w:sz w:val="22"/>
          <w:szCs w:val="22"/>
          <w:lang w:eastAsia="en-GB"/>
        </w:rPr>
        <w:t>Cornwall</w:t>
      </w:r>
      <w:r w:rsidR="0090224B">
        <w:rPr>
          <w:rFonts w:ascii="Palatino Linotype" w:eastAsia="Times New Roman" w:hAnsi="Palatino Linotype" w:cs="Times New Roman"/>
          <w:sz w:val="22"/>
          <w:szCs w:val="22"/>
          <w:lang w:eastAsia="en-GB"/>
        </w:rPr>
        <w:t xml:space="preserve">, and so the approach in </w:t>
      </w:r>
      <w:r w:rsidR="0090224B">
        <w:rPr>
          <w:rFonts w:ascii="Palatino Linotype" w:eastAsia="Times New Roman" w:hAnsi="Palatino Linotype" w:cs="Times New Roman"/>
          <w:b/>
          <w:bCs/>
          <w:i/>
          <w:iCs/>
          <w:sz w:val="22"/>
          <w:szCs w:val="22"/>
          <w:lang w:eastAsia="en-GB"/>
        </w:rPr>
        <w:t xml:space="preserve">Cornwall </w:t>
      </w:r>
      <w:r w:rsidR="0090224B">
        <w:rPr>
          <w:rFonts w:ascii="Palatino Linotype" w:eastAsia="Times New Roman" w:hAnsi="Palatino Linotype" w:cs="Times New Roman"/>
          <w:sz w:val="22"/>
          <w:szCs w:val="22"/>
          <w:lang w:eastAsia="en-GB"/>
        </w:rPr>
        <w:t xml:space="preserve">had no application to s. 117. </w:t>
      </w:r>
    </w:p>
    <w:p w:rsidR="00E76A85" w:rsidRDefault="00E76A85" w:rsidP="00104373">
      <w:pPr>
        <w:spacing w:line="360" w:lineRule="auto"/>
        <w:rPr>
          <w:rFonts w:ascii="Palatino Linotype" w:eastAsia="Times New Roman" w:hAnsi="Palatino Linotype" w:cs="Times New Roman"/>
          <w:sz w:val="22"/>
          <w:szCs w:val="22"/>
          <w:lang w:eastAsia="en-GB"/>
        </w:rPr>
      </w:pPr>
    </w:p>
    <w:p w:rsidR="001E2274" w:rsidRDefault="001E2274" w:rsidP="00104373">
      <w:pPr>
        <w:spacing w:line="360" w:lineRule="auto"/>
        <w:rPr>
          <w:rFonts w:ascii="Palatino Linotype" w:eastAsia="Times New Roman" w:hAnsi="Palatino Linotype" w:cs="Times New Roman"/>
          <w:i/>
          <w:iCs/>
          <w:sz w:val="22"/>
          <w:szCs w:val="22"/>
          <w:lang w:eastAsia="en-GB"/>
        </w:rPr>
      </w:pPr>
    </w:p>
    <w:p w:rsidR="001E2274" w:rsidRDefault="001E2274" w:rsidP="00104373">
      <w:pPr>
        <w:spacing w:line="360" w:lineRule="auto"/>
        <w:rPr>
          <w:rFonts w:ascii="Palatino Linotype" w:eastAsia="Times New Roman" w:hAnsi="Palatino Linotype" w:cs="Times New Roman"/>
          <w:i/>
          <w:iCs/>
          <w:sz w:val="22"/>
          <w:szCs w:val="22"/>
          <w:lang w:eastAsia="en-GB"/>
        </w:rPr>
      </w:pPr>
      <w:r>
        <w:rPr>
          <w:rFonts w:ascii="Palatino Linotype" w:eastAsia="Times New Roman" w:hAnsi="Palatino Linotype" w:cs="Times New Roman"/>
          <w:i/>
          <w:iCs/>
          <w:sz w:val="22"/>
          <w:szCs w:val="22"/>
          <w:lang w:eastAsia="en-GB"/>
        </w:rPr>
        <w:t xml:space="preserve">Proposition 2 </w:t>
      </w:r>
    </w:p>
    <w:p w:rsidR="001E2274" w:rsidRPr="001E2274" w:rsidRDefault="001E2274" w:rsidP="00104373">
      <w:pPr>
        <w:spacing w:line="360" w:lineRule="auto"/>
        <w:rPr>
          <w:rFonts w:ascii="Palatino Linotype" w:eastAsia="Times New Roman" w:hAnsi="Palatino Linotype" w:cs="Times New Roman"/>
          <w:i/>
          <w:iCs/>
          <w:sz w:val="22"/>
          <w:szCs w:val="22"/>
          <w:lang w:eastAsia="en-GB"/>
        </w:rPr>
      </w:pPr>
    </w:p>
    <w:p w:rsidR="00E76A85" w:rsidRDefault="00026A02"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Section</w:t>
      </w:r>
      <w:r w:rsidR="00E76A85">
        <w:rPr>
          <w:rFonts w:ascii="Palatino Linotype" w:eastAsia="Times New Roman" w:hAnsi="Palatino Linotype" w:cs="Times New Roman"/>
          <w:sz w:val="22"/>
          <w:szCs w:val="22"/>
          <w:lang w:eastAsia="en-GB"/>
        </w:rPr>
        <w:t xml:space="preserve"> 117(3) provides that the responsible bodies will </w:t>
      </w:r>
      <w:r w:rsidR="006F4651">
        <w:rPr>
          <w:rFonts w:ascii="Palatino Linotype" w:eastAsia="Times New Roman" w:hAnsi="Palatino Linotype" w:cs="Times New Roman"/>
          <w:sz w:val="22"/>
          <w:szCs w:val="22"/>
          <w:lang w:eastAsia="en-GB"/>
        </w:rPr>
        <w:t xml:space="preserve">be </w:t>
      </w:r>
      <w:r w:rsidR="00E76A85">
        <w:rPr>
          <w:rFonts w:ascii="Palatino Linotype" w:eastAsia="Times New Roman" w:hAnsi="Palatino Linotype" w:cs="Times New Roman"/>
          <w:sz w:val="22"/>
          <w:szCs w:val="22"/>
          <w:lang w:eastAsia="en-GB"/>
        </w:rPr>
        <w:t>those:</w:t>
      </w:r>
    </w:p>
    <w:p w:rsidR="00E76A85" w:rsidRPr="001E2274" w:rsidRDefault="00E76A85" w:rsidP="001E2274">
      <w:pPr>
        <w:pStyle w:val="NormalWeb"/>
        <w:spacing w:before="0" w:beforeAutospacing="0" w:after="0" w:afterAutospacing="0"/>
        <w:ind w:left="720"/>
        <w:rPr>
          <w:rFonts w:ascii="Palatino Linotype" w:hAnsi="Palatino Linotype"/>
          <w:sz w:val="22"/>
          <w:szCs w:val="22"/>
        </w:rPr>
      </w:pPr>
      <w:r w:rsidRPr="001E2274">
        <w:rPr>
          <w:rFonts w:ascii="Palatino Linotype" w:hAnsi="Palatino Linotype"/>
          <w:i/>
          <w:iCs/>
          <w:sz w:val="22"/>
          <w:szCs w:val="22"/>
        </w:rPr>
        <w:t xml:space="preserve">if, immediately before being detained, the person concerned was ordinarily resident in England, for the area in England in which he was ordinarily resident; </w:t>
      </w:r>
    </w:p>
    <w:p w:rsidR="00E76A85" w:rsidRDefault="00E76A85" w:rsidP="00104373">
      <w:pPr>
        <w:spacing w:line="360" w:lineRule="auto"/>
        <w:rPr>
          <w:rFonts w:ascii="Palatino Linotype" w:eastAsia="Times New Roman" w:hAnsi="Palatino Linotype" w:cs="Times New Roman"/>
          <w:sz w:val="22"/>
          <w:szCs w:val="22"/>
          <w:lang w:eastAsia="en-GB"/>
        </w:rPr>
      </w:pPr>
    </w:p>
    <w:p w:rsidR="00E76A85" w:rsidRDefault="00E76A85"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The Secretary of State argued that where a person was in receipt of s. 117 after-care, and then re-detained, and then discharged, s. 117(3) should be interpreted as asking where the p</w:t>
      </w:r>
      <w:r w:rsidR="001E2274">
        <w:rPr>
          <w:rFonts w:ascii="Palatino Linotype" w:eastAsia="Times New Roman" w:hAnsi="Palatino Linotype" w:cs="Times New Roman"/>
          <w:sz w:val="22"/>
          <w:szCs w:val="22"/>
          <w:lang w:eastAsia="en-GB"/>
        </w:rPr>
        <w:t>erson</w:t>
      </w:r>
      <w:r>
        <w:rPr>
          <w:rFonts w:ascii="Palatino Linotype" w:eastAsia="Times New Roman" w:hAnsi="Palatino Linotype" w:cs="Times New Roman"/>
          <w:sz w:val="22"/>
          <w:szCs w:val="22"/>
          <w:lang w:eastAsia="en-GB"/>
        </w:rPr>
        <w:t xml:space="preserve"> was ordinarily resident before </w:t>
      </w:r>
      <w:r w:rsidR="001E2274">
        <w:rPr>
          <w:rFonts w:ascii="Palatino Linotype" w:eastAsia="Times New Roman" w:hAnsi="Palatino Linotype" w:cs="Times New Roman"/>
          <w:sz w:val="22"/>
          <w:szCs w:val="22"/>
          <w:lang w:eastAsia="en-GB"/>
        </w:rPr>
        <w:t xml:space="preserve">they were </w:t>
      </w:r>
      <w:r>
        <w:rPr>
          <w:rFonts w:ascii="Palatino Linotype" w:eastAsia="Times New Roman" w:hAnsi="Palatino Linotype" w:cs="Times New Roman"/>
          <w:i/>
          <w:iCs/>
          <w:sz w:val="22"/>
          <w:szCs w:val="22"/>
          <w:lang w:eastAsia="en-GB"/>
        </w:rPr>
        <w:t xml:space="preserve">‘first’ </w:t>
      </w:r>
      <w:r>
        <w:rPr>
          <w:rFonts w:ascii="Palatino Linotype" w:eastAsia="Times New Roman" w:hAnsi="Palatino Linotype" w:cs="Times New Roman"/>
          <w:sz w:val="22"/>
          <w:szCs w:val="22"/>
          <w:lang w:eastAsia="en-GB"/>
        </w:rPr>
        <w:t xml:space="preserve">detained. </w:t>
      </w:r>
      <w:r w:rsidR="001E2274">
        <w:rPr>
          <w:rFonts w:ascii="Palatino Linotype" w:eastAsia="Times New Roman" w:hAnsi="Palatino Linotype" w:cs="Times New Roman"/>
          <w:sz w:val="22"/>
          <w:szCs w:val="22"/>
          <w:lang w:eastAsia="en-GB"/>
        </w:rPr>
        <w:t>However</w:t>
      </w:r>
      <w:r w:rsidR="006F4651">
        <w:rPr>
          <w:rFonts w:ascii="Palatino Linotype" w:eastAsia="Times New Roman" w:hAnsi="Palatino Linotype" w:cs="Times New Roman"/>
          <w:sz w:val="22"/>
          <w:szCs w:val="22"/>
          <w:lang w:eastAsia="en-GB"/>
        </w:rPr>
        <w:t>, the court held</w:t>
      </w:r>
      <w:r w:rsidR="001E2274">
        <w:rPr>
          <w:rFonts w:ascii="Palatino Linotype" w:eastAsia="Times New Roman" w:hAnsi="Palatino Linotype" w:cs="Times New Roman"/>
          <w:sz w:val="22"/>
          <w:szCs w:val="22"/>
          <w:lang w:eastAsia="en-GB"/>
        </w:rPr>
        <w:t xml:space="preserve"> that there was</w:t>
      </w:r>
      <w:r w:rsidR="006F4651">
        <w:rPr>
          <w:rFonts w:ascii="Palatino Linotype" w:eastAsia="Times New Roman" w:hAnsi="Palatino Linotype" w:cs="Times New Roman"/>
          <w:sz w:val="22"/>
          <w:szCs w:val="22"/>
          <w:lang w:eastAsia="en-GB"/>
        </w:rPr>
        <w:t xml:space="preserve"> no basis for reading words into s. 117</w:t>
      </w:r>
      <w:r>
        <w:rPr>
          <w:rFonts w:ascii="Palatino Linotype" w:eastAsia="Times New Roman" w:hAnsi="Palatino Linotype" w:cs="Times New Roman"/>
          <w:sz w:val="22"/>
          <w:szCs w:val="22"/>
          <w:lang w:eastAsia="en-GB"/>
        </w:rPr>
        <w:t xml:space="preserve">. Furthermore, the Secretary of State’s analysis </w:t>
      </w:r>
      <w:r w:rsidR="00104373">
        <w:rPr>
          <w:rFonts w:ascii="Palatino Linotype" w:eastAsia="Times New Roman" w:hAnsi="Palatino Linotype" w:cs="Times New Roman"/>
          <w:sz w:val="22"/>
          <w:szCs w:val="22"/>
          <w:lang w:eastAsia="en-GB"/>
        </w:rPr>
        <w:t xml:space="preserve">meant that s. 117(3) should be given different meanings according to the facts, i.e. if the patient had only ever been detained once, s. 117(3) would, on the Secretary of State’s analysis, ask where the patient was ordinarily resident before </w:t>
      </w:r>
      <w:r w:rsidR="00104373">
        <w:rPr>
          <w:rFonts w:ascii="Palatino Linotype" w:eastAsia="Times New Roman" w:hAnsi="Palatino Linotype" w:cs="Times New Roman"/>
          <w:sz w:val="22"/>
          <w:szCs w:val="22"/>
          <w:u w:val="single"/>
          <w:lang w:eastAsia="en-GB"/>
        </w:rPr>
        <w:t>that</w:t>
      </w:r>
      <w:r w:rsidR="00104373">
        <w:rPr>
          <w:rFonts w:ascii="Palatino Linotype" w:eastAsia="Times New Roman" w:hAnsi="Palatino Linotype" w:cs="Times New Roman"/>
          <w:sz w:val="22"/>
          <w:szCs w:val="22"/>
          <w:lang w:eastAsia="en-GB"/>
        </w:rPr>
        <w:t xml:space="preserve"> detention, whereas if the patient had been detained more than once, s. 117 would ask where was the patient ordinarily resident before being first detained.</w:t>
      </w:r>
    </w:p>
    <w:p w:rsidR="006F4651" w:rsidRDefault="006F4651" w:rsidP="00104373">
      <w:pPr>
        <w:spacing w:line="360" w:lineRule="auto"/>
        <w:rPr>
          <w:rFonts w:ascii="Palatino Linotype" w:eastAsia="Times New Roman" w:hAnsi="Palatino Linotype" w:cs="Times New Roman"/>
          <w:sz w:val="22"/>
          <w:szCs w:val="22"/>
          <w:lang w:eastAsia="en-GB"/>
        </w:rPr>
      </w:pPr>
    </w:p>
    <w:p w:rsidR="00104373" w:rsidRDefault="00104373"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The court held that whe</w:t>
      </w:r>
      <w:r w:rsidR="007750A1">
        <w:rPr>
          <w:rFonts w:ascii="Palatino Linotype" w:eastAsia="Times New Roman" w:hAnsi="Palatino Linotype" w:cs="Times New Roman"/>
          <w:sz w:val="22"/>
          <w:szCs w:val="22"/>
          <w:lang w:eastAsia="en-GB"/>
        </w:rPr>
        <w:t>n</w:t>
      </w:r>
      <w:r>
        <w:rPr>
          <w:rFonts w:ascii="Palatino Linotype" w:eastAsia="Times New Roman" w:hAnsi="Palatino Linotype" w:cs="Times New Roman"/>
          <w:sz w:val="22"/>
          <w:szCs w:val="22"/>
          <w:lang w:eastAsia="en-GB"/>
        </w:rPr>
        <w:t xml:space="preserve">ever a patient is detained under s. 3, and then discharged, the s. 117 duty arises, and the duty falls on the authorities </w:t>
      </w:r>
      <w:r w:rsidR="007750A1">
        <w:rPr>
          <w:rFonts w:ascii="Palatino Linotype" w:eastAsia="Times New Roman" w:hAnsi="Palatino Linotype" w:cs="Times New Roman"/>
          <w:sz w:val="22"/>
          <w:szCs w:val="22"/>
          <w:lang w:eastAsia="en-GB"/>
        </w:rPr>
        <w:t xml:space="preserve">for </w:t>
      </w:r>
      <w:r>
        <w:rPr>
          <w:rFonts w:ascii="Palatino Linotype" w:eastAsia="Times New Roman" w:hAnsi="Palatino Linotype" w:cs="Times New Roman"/>
          <w:sz w:val="22"/>
          <w:szCs w:val="22"/>
          <w:lang w:eastAsia="en-GB"/>
        </w:rPr>
        <w:t xml:space="preserve">where the patient was ordinarily resident immediately before the detention which they are being discharged from, i.e. their most recent detention. </w:t>
      </w:r>
    </w:p>
    <w:p w:rsidR="007750A1" w:rsidRDefault="007750A1" w:rsidP="00104373">
      <w:pPr>
        <w:spacing w:line="360" w:lineRule="auto"/>
        <w:rPr>
          <w:rFonts w:ascii="Palatino Linotype" w:eastAsia="Times New Roman" w:hAnsi="Palatino Linotype" w:cs="Times New Roman"/>
          <w:sz w:val="22"/>
          <w:szCs w:val="22"/>
          <w:lang w:eastAsia="en-GB"/>
        </w:rPr>
      </w:pPr>
      <w:bookmarkStart w:id="0" w:name="_GoBack"/>
      <w:bookmarkEnd w:id="0"/>
    </w:p>
    <w:p w:rsidR="007750A1" w:rsidRDefault="007750A1" w:rsidP="00104373">
      <w:pPr>
        <w:spacing w:line="360" w:lineRule="auto"/>
        <w:rPr>
          <w:rFonts w:ascii="Palatino Linotype" w:eastAsia="Times New Roman" w:hAnsi="Palatino Linotype" w:cs="Times New Roman"/>
          <w:sz w:val="22"/>
          <w:szCs w:val="22"/>
          <w:lang w:eastAsia="en-GB"/>
        </w:rPr>
      </w:pPr>
    </w:p>
    <w:p w:rsidR="001E2274" w:rsidRPr="001E2274" w:rsidRDefault="001E2274" w:rsidP="00104373">
      <w:pPr>
        <w:spacing w:line="360" w:lineRule="auto"/>
        <w:rPr>
          <w:rFonts w:ascii="Palatino Linotype" w:eastAsia="Times New Roman" w:hAnsi="Palatino Linotype" w:cs="Times New Roman"/>
          <w:i/>
          <w:iCs/>
          <w:sz w:val="22"/>
          <w:szCs w:val="22"/>
          <w:lang w:eastAsia="en-GB"/>
        </w:rPr>
      </w:pPr>
      <w:r>
        <w:rPr>
          <w:rFonts w:ascii="Palatino Linotype" w:eastAsia="Times New Roman" w:hAnsi="Palatino Linotype" w:cs="Times New Roman"/>
          <w:i/>
          <w:iCs/>
          <w:sz w:val="22"/>
          <w:szCs w:val="22"/>
          <w:lang w:eastAsia="en-GB"/>
        </w:rPr>
        <w:t>Proposition 3</w:t>
      </w:r>
    </w:p>
    <w:p w:rsidR="00104373" w:rsidRDefault="00104373" w:rsidP="00104373">
      <w:pPr>
        <w:spacing w:line="360" w:lineRule="auto"/>
        <w:rPr>
          <w:rFonts w:ascii="Palatino Linotype" w:eastAsia="Times New Roman" w:hAnsi="Palatino Linotype" w:cs="Times New Roman"/>
          <w:sz w:val="22"/>
          <w:szCs w:val="22"/>
          <w:lang w:eastAsia="en-GB"/>
        </w:rPr>
      </w:pPr>
    </w:p>
    <w:p w:rsidR="001E2274" w:rsidRDefault="006F4651"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The final proposition relied on by the Secretary of State was that</w:t>
      </w:r>
      <w:r w:rsidR="002D77FE">
        <w:rPr>
          <w:rFonts w:ascii="Palatino Linotype" w:eastAsia="Times New Roman" w:hAnsi="Palatino Linotype" w:cs="Times New Roman"/>
          <w:sz w:val="22"/>
          <w:szCs w:val="22"/>
          <w:lang w:eastAsia="en-GB"/>
        </w:rPr>
        <w:t xml:space="preserve"> where a person is in receipt of s. 117 after-care up to the date on which they are re-detained,</w:t>
      </w:r>
      <w:r>
        <w:rPr>
          <w:rFonts w:ascii="Palatino Linotype" w:eastAsia="Times New Roman" w:hAnsi="Palatino Linotype" w:cs="Times New Roman"/>
          <w:sz w:val="22"/>
          <w:szCs w:val="22"/>
          <w:lang w:eastAsia="en-GB"/>
        </w:rPr>
        <w:t xml:space="preserve"> the s. 117 duty survives </w:t>
      </w:r>
      <w:r w:rsidR="002D77FE">
        <w:rPr>
          <w:rFonts w:ascii="Palatino Linotype" w:eastAsia="Times New Roman" w:hAnsi="Palatino Linotype" w:cs="Times New Roman"/>
          <w:sz w:val="22"/>
          <w:szCs w:val="22"/>
          <w:lang w:eastAsia="en-GB"/>
        </w:rPr>
        <w:t>the period of</w:t>
      </w:r>
      <w:r>
        <w:rPr>
          <w:rFonts w:ascii="Palatino Linotype" w:eastAsia="Times New Roman" w:hAnsi="Palatino Linotype" w:cs="Times New Roman"/>
          <w:sz w:val="22"/>
          <w:szCs w:val="22"/>
          <w:lang w:eastAsia="en-GB"/>
        </w:rPr>
        <w:t xml:space="preserve"> re-admission. On JG’s case, the Secretary of State said that because Worcestershire </w:t>
      </w:r>
      <w:r>
        <w:rPr>
          <w:rFonts w:ascii="Palatino Linotype" w:eastAsia="Times New Roman" w:hAnsi="Palatino Linotype" w:cs="Times New Roman"/>
          <w:sz w:val="22"/>
          <w:szCs w:val="22"/>
          <w:lang w:eastAsia="en-GB"/>
        </w:rPr>
        <w:lastRenderedPageBreak/>
        <w:t>had not decided to discharge JG from s. 117 before her re-admission</w:t>
      </w:r>
      <w:r w:rsidR="002D77FE">
        <w:rPr>
          <w:rFonts w:ascii="Palatino Linotype" w:eastAsia="Times New Roman" w:hAnsi="Palatino Linotype" w:cs="Times New Roman"/>
          <w:sz w:val="22"/>
          <w:szCs w:val="22"/>
          <w:lang w:eastAsia="en-GB"/>
        </w:rPr>
        <w:t xml:space="preserve"> under s. 3</w:t>
      </w:r>
      <w:r>
        <w:rPr>
          <w:rFonts w:ascii="Palatino Linotype" w:eastAsia="Times New Roman" w:hAnsi="Palatino Linotype" w:cs="Times New Roman"/>
          <w:sz w:val="22"/>
          <w:szCs w:val="22"/>
          <w:lang w:eastAsia="en-GB"/>
        </w:rPr>
        <w:t xml:space="preserve">, the s. 117 duty on Worcestershire continued, and Worcestershire continued to owe the duty when JG was discharged from her second admission. </w:t>
      </w:r>
    </w:p>
    <w:p w:rsidR="001E2274" w:rsidRDefault="001E2274" w:rsidP="00104373">
      <w:pPr>
        <w:spacing w:line="360" w:lineRule="auto"/>
        <w:rPr>
          <w:rFonts w:ascii="Palatino Linotype" w:eastAsia="Times New Roman" w:hAnsi="Palatino Linotype" w:cs="Times New Roman"/>
          <w:sz w:val="22"/>
          <w:szCs w:val="22"/>
          <w:lang w:eastAsia="en-GB"/>
        </w:rPr>
      </w:pPr>
    </w:p>
    <w:p w:rsidR="006F4651" w:rsidRDefault="007750A1"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 xml:space="preserve">The court rejected the Secretary of State’s submission that the s. 117 duty, from the first admission, survives beyond a second period of qualifying detention. </w:t>
      </w:r>
      <w:r w:rsidR="006F4651">
        <w:rPr>
          <w:rFonts w:ascii="Palatino Linotype" w:eastAsia="Times New Roman" w:hAnsi="Palatino Linotype" w:cs="Times New Roman"/>
          <w:sz w:val="22"/>
          <w:szCs w:val="22"/>
          <w:lang w:eastAsia="en-GB"/>
        </w:rPr>
        <w:t xml:space="preserve">Worcestershire </w:t>
      </w:r>
      <w:r w:rsidR="001E2274">
        <w:rPr>
          <w:rFonts w:ascii="Palatino Linotype" w:eastAsia="Times New Roman" w:hAnsi="Palatino Linotype" w:cs="Times New Roman"/>
          <w:sz w:val="22"/>
          <w:szCs w:val="22"/>
          <w:lang w:eastAsia="en-GB"/>
        </w:rPr>
        <w:t xml:space="preserve">had </w:t>
      </w:r>
      <w:r w:rsidR="006F4651">
        <w:rPr>
          <w:rFonts w:ascii="Palatino Linotype" w:eastAsia="Times New Roman" w:hAnsi="Palatino Linotype" w:cs="Times New Roman"/>
          <w:sz w:val="22"/>
          <w:szCs w:val="22"/>
          <w:lang w:eastAsia="en-GB"/>
        </w:rPr>
        <w:t xml:space="preserve">argued that the duty it owed to JG terminated </w:t>
      </w:r>
      <w:r w:rsidR="00F6710F">
        <w:rPr>
          <w:rFonts w:ascii="Palatino Linotype" w:eastAsia="Times New Roman" w:hAnsi="Palatino Linotype" w:cs="Times New Roman"/>
          <w:sz w:val="22"/>
          <w:szCs w:val="22"/>
          <w:lang w:eastAsia="en-GB"/>
        </w:rPr>
        <w:t>at the point of</w:t>
      </w:r>
      <w:r w:rsidR="006F4651">
        <w:rPr>
          <w:rFonts w:ascii="Palatino Linotype" w:eastAsia="Times New Roman" w:hAnsi="Palatino Linotype" w:cs="Times New Roman"/>
          <w:sz w:val="22"/>
          <w:szCs w:val="22"/>
          <w:lang w:eastAsia="en-GB"/>
        </w:rPr>
        <w:t xml:space="preserve"> her re-admission</w:t>
      </w:r>
      <w:r w:rsidR="001E2274">
        <w:rPr>
          <w:rFonts w:ascii="Palatino Linotype" w:eastAsia="Times New Roman" w:hAnsi="Palatino Linotype" w:cs="Times New Roman"/>
          <w:sz w:val="22"/>
          <w:szCs w:val="22"/>
          <w:lang w:eastAsia="en-GB"/>
        </w:rPr>
        <w:t xml:space="preserve"> under s. 3</w:t>
      </w:r>
      <w:r w:rsidR="006F4651">
        <w:rPr>
          <w:rFonts w:ascii="Palatino Linotype" w:eastAsia="Times New Roman" w:hAnsi="Palatino Linotype" w:cs="Times New Roman"/>
          <w:sz w:val="22"/>
          <w:szCs w:val="22"/>
          <w:lang w:eastAsia="en-GB"/>
        </w:rPr>
        <w:t xml:space="preserve">. </w:t>
      </w:r>
      <w:r w:rsidR="001E2274">
        <w:rPr>
          <w:rFonts w:ascii="Palatino Linotype" w:eastAsia="Times New Roman" w:hAnsi="Palatino Linotype" w:cs="Times New Roman"/>
          <w:sz w:val="22"/>
          <w:szCs w:val="22"/>
          <w:lang w:eastAsia="en-GB"/>
        </w:rPr>
        <w:t>However, the</w:t>
      </w:r>
      <w:r w:rsidR="006F4651">
        <w:rPr>
          <w:rFonts w:ascii="Palatino Linotype" w:eastAsia="Times New Roman" w:hAnsi="Palatino Linotype" w:cs="Times New Roman"/>
          <w:sz w:val="22"/>
          <w:szCs w:val="22"/>
          <w:lang w:eastAsia="en-GB"/>
        </w:rPr>
        <w:t xml:space="preserve"> court held that</w:t>
      </w:r>
      <w:r w:rsidR="001E2274">
        <w:rPr>
          <w:rFonts w:ascii="Palatino Linotype" w:eastAsia="Times New Roman" w:hAnsi="Palatino Linotype" w:cs="Times New Roman"/>
          <w:sz w:val="22"/>
          <w:szCs w:val="22"/>
          <w:lang w:eastAsia="en-GB"/>
        </w:rPr>
        <w:t xml:space="preserve"> th</w:t>
      </w:r>
      <w:r w:rsidR="002D77FE">
        <w:rPr>
          <w:rFonts w:ascii="Palatino Linotype" w:eastAsia="Times New Roman" w:hAnsi="Palatino Linotype" w:cs="Times New Roman"/>
          <w:sz w:val="22"/>
          <w:szCs w:val="22"/>
          <w:lang w:eastAsia="en-GB"/>
        </w:rPr>
        <w:t xml:space="preserve">at it is the </w:t>
      </w:r>
      <w:r w:rsidR="002D77FE">
        <w:rPr>
          <w:rFonts w:ascii="Palatino Linotype" w:eastAsia="Times New Roman" w:hAnsi="Palatino Linotype" w:cs="Times New Roman"/>
          <w:i/>
          <w:iCs/>
          <w:sz w:val="22"/>
          <w:szCs w:val="22"/>
          <w:lang w:eastAsia="en-GB"/>
        </w:rPr>
        <w:t xml:space="preserve">discharge </w:t>
      </w:r>
      <w:r w:rsidR="002D77FE">
        <w:rPr>
          <w:rFonts w:ascii="Palatino Linotype" w:eastAsia="Times New Roman" w:hAnsi="Palatino Linotype" w:cs="Times New Roman"/>
          <w:sz w:val="22"/>
          <w:szCs w:val="22"/>
          <w:lang w:eastAsia="en-GB"/>
        </w:rPr>
        <w:t>from a second admission which automatically terminates the prior s. 117</w:t>
      </w:r>
      <w:r w:rsidR="00F6710F">
        <w:rPr>
          <w:rFonts w:ascii="Palatino Linotype" w:eastAsia="Times New Roman" w:hAnsi="Palatino Linotype" w:cs="Times New Roman"/>
          <w:sz w:val="22"/>
          <w:szCs w:val="22"/>
          <w:lang w:eastAsia="en-GB"/>
        </w:rPr>
        <w:t>. At</w:t>
      </w:r>
      <w:r w:rsidR="001E2274">
        <w:rPr>
          <w:rFonts w:ascii="Palatino Linotype" w:eastAsia="Times New Roman" w:hAnsi="Palatino Linotype" w:cs="Times New Roman"/>
          <w:sz w:val="22"/>
          <w:szCs w:val="22"/>
          <w:lang w:eastAsia="en-GB"/>
        </w:rPr>
        <w:t xml:space="preserve"> the point of discharge</w:t>
      </w:r>
      <w:r w:rsidR="002D77FE">
        <w:rPr>
          <w:rFonts w:ascii="Palatino Linotype" w:eastAsia="Times New Roman" w:hAnsi="Palatino Linotype" w:cs="Times New Roman"/>
          <w:sz w:val="22"/>
          <w:szCs w:val="22"/>
          <w:lang w:eastAsia="en-GB"/>
        </w:rPr>
        <w:t xml:space="preserve"> from a second period of detention</w:t>
      </w:r>
      <w:r w:rsidR="001E2274">
        <w:rPr>
          <w:rFonts w:ascii="Palatino Linotype" w:eastAsia="Times New Roman" w:hAnsi="Palatino Linotype" w:cs="Times New Roman"/>
          <w:sz w:val="22"/>
          <w:szCs w:val="22"/>
          <w:lang w:eastAsia="en-GB"/>
        </w:rPr>
        <w:t xml:space="preserve">, a fresh s. 117 duty arises and, at that point, the prior s. 117 duty automatically ends. Of course, it is possible for the after-care bodies to decide to terminate the duty </w:t>
      </w:r>
      <w:r w:rsidR="002D77FE">
        <w:rPr>
          <w:rFonts w:ascii="Palatino Linotype" w:eastAsia="Times New Roman" w:hAnsi="Palatino Linotype" w:cs="Times New Roman"/>
          <w:sz w:val="22"/>
          <w:szCs w:val="22"/>
          <w:lang w:eastAsia="en-GB"/>
        </w:rPr>
        <w:t>at any time</w:t>
      </w:r>
      <w:r w:rsidR="001E2274">
        <w:rPr>
          <w:rFonts w:ascii="Palatino Linotype" w:eastAsia="Times New Roman" w:hAnsi="Palatino Linotype" w:cs="Times New Roman"/>
          <w:sz w:val="22"/>
          <w:szCs w:val="22"/>
          <w:lang w:eastAsia="en-GB"/>
        </w:rPr>
        <w:t>, and the bodies might conclude that they should terminate the duty where the individual has been re-detained</w:t>
      </w:r>
      <w:r w:rsidR="00F6710F">
        <w:rPr>
          <w:rFonts w:ascii="Palatino Linotype" w:eastAsia="Times New Roman" w:hAnsi="Palatino Linotype" w:cs="Times New Roman"/>
          <w:sz w:val="22"/>
          <w:szCs w:val="22"/>
          <w:lang w:eastAsia="en-GB"/>
        </w:rPr>
        <w:t>; t</w:t>
      </w:r>
      <w:r w:rsidR="002D77FE">
        <w:rPr>
          <w:rFonts w:ascii="Palatino Linotype" w:eastAsia="Times New Roman" w:hAnsi="Palatino Linotype" w:cs="Times New Roman"/>
          <w:sz w:val="22"/>
          <w:szCs w:val="22"/>
          <w:lang w:eastAsia="en-GB"/>
        </w:rPr>
        <w:t>he s. 117 bodies are likely to conclude that they duty should not be maintained while the patient is receiving in-patient care.</w:t>
      </w:r>
      <w:r w:rsidR="001E2274">
        <w:rPr>
          <w:rFonts w:ascii="Palatino Linotype" w:eastAsia="Times New Roman" w:hAnsi="Palatino Linotype" w:cs="Times New Roman"/>
          <w:sz w:val="22"/>
          <w:szCs w:val="22"/>
          <w:lang w:eastAsia="en-GB"/>
        </w:rPr>
        <w:t xml:space="preserve"> However, even if a decision to discharge</w:t>
      </w:r>
      <w:r w:rsidR="00F6710F">
        <w:rPr>
          <w:rFonts w:ascii="Palatino Linotype" w:eastAsia="Times New Roman" w:hAnsi="Palatino Linotype" w:cs="Times New Roman"/>
          <w:sz w:val="22"/>
          <w:szCs w:val="22"/>
          <w:lang w:eastAsia="en-GB"/>
        </w:rPr>
        <w:t xml:space="preserve"> the s. 117 duty</w:t>
      </w:r>
      <w:r w:rsidR="001E2274">
        <w:rPr>
          <w:rFonts w:ascii="Palatino Linotype" w:eastAsia="Times New Roman" w:hAnsi="Palatino Linotype" w:cs="Times New Roman"/>
          <w:sz w:val="22"/>
          <w:szCs w:val="22"/>
          <w:lang w:eastAsia="en-GB"/>
        </w:rPr>
        <w:t xml:space="preserve"> is not made during the period of re-admission, the</w:t>
      </w:r>
      <w:r w:rsidR="002D77FE">
        <w:rPr>
          <w:rFonts w:ascii="Palatino Linotype" w:eastAsia="Times New Roman" w:hAnsi="Palatino Linotype" w:cs="Times New Roman"/>
          <w:sz w:val="22"/>
          <w:szCs w:val="22"/>
          <w:lang w:eastAsia="en-GB"/>
        </w:rPr>
        <w:t xml:space="preserve"> first</w:t>
      </w:r>
      <w:r w:rsidR="001E2274">
        <w:rPr>
          <w:rFonts w:ascii="Palatino Linotype" w:eastAsia="Times New Roman" w:hAnsi="Palatino Linotype" w:cs="Times New Roman"/>
          <w:sz w:val="22"/>
          <w:szCs w:val="22"/>
          <w:lang w:eastAsia="en-GB"/>
        </w:rPr>
        <w:t xml:space="preserve"> duty will end at the time the patient is discharge</w:t>
      </w:r>
      <w:r w:rsidR="002D77FE">
        <w:rPr>
          <w:rFonts w:ascii="Palatino Linotype" w:eastAsia="Times New Roman" w:hAnsi="Palatino Linotype" w:cs="Times New Roman"/>
          <w:sz w:val="22"/>
          <w:szCs w:val="22"/>
          <w:lang w:eastAsia="en-GB"/>
        </w:rPr>
        <w:t>d</w:t>
      </w:r>
      <w:r w:rsidR="001E2274">
        <w:rPr>
          <w:rFonts w:ascii="Palatino Linotype" w:eastAsia="Times New Roman" w:hAnsi="Palatino Linotype" w:cs="Times New Roman"/>
          <w:sz w:val="22"/>
          <w:szCs w:val="22"/>
          <w:lang w:eastAsia="en-GB"/>
        </w:rPr>
        <w:t xml:space="preserve"> from the second period of detention</w:t>
      </w:r>
      <w:r w:rsidR="002D77FE">
        <w:rPr>
          <w:rFonts w:ascii="Palatino Linotype" w:eastAsia="Times New Roman" w:hAnsi="Palatino Linotype" w:cs="Times New Roman"/>
          <w:sz w:val="22"/>
          <w:szCs w:val="22"/>
          <w:lang w:eastAsia="en-GB"/>
        </w:rPr>
        <w:t xml:space="preserve">. When the duty arises afresh, the duty will fall on the bodies for the area where the patient was ordinarily resident immediately before their most recent period of detention. </w:t>
      </w:r>
      <w:r w:rsidR="001E2274">
        <w:rPr>
          <w:rFonts w:ascii="Palatino Linotype" w:eastAsia="Times New Roman" w:hAnsi="Palatino Linotype" w:cs="Times New Roman"/>
          <w:sz w:val="22"/>
          <w:szCs w:val="22"/>
          <w:lang w:eastAsia="en-GB"/>
        </w:rPr>
        <w:t xml:space="preserve">   </w:t>
      </w:r>
    </w:p>
    <w:p w:rsidR="002D77FE" w:rsidRDefault="002D77FE" w:rsidP="00104373">
      <w:pPr>
        <w:spacing w:line="360" w:lineRule="auto"/>
        <w:rPr>
          <w:rFonts w:ascii="Palatino Linotype" w:eastAsia="Times New Roman" w:hAnsi="Palatino Linotype" w:cs="Times New Roman"/>
          <w:sz w:val="22"/>
          <w:szCs w:val="22"/>
          <w:lang w:eastAsia="en-GB"/>
        </w:rPr>
      </w:pPr>
    </w:p>
    <w:p w:rsidR="002D77FE" w:rsidRDefault="002D77FE"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 xml:space="preserve">The court’s conclusions on issues 1 and 2 confirm that s. 117 operates as it had been described in the statutory guidance. The judgment on issue 3 also reflects the terms of the guidance, which stated that the ordinary residence rules need to be applied, afresh, following any subsequent s. 3 detention. However, the judgment helpfully clarifies the mechanism by which the duty ends, automatically, by reason of subsequent admissions. </w:t>
      </w:r>
    </w:p>
    <w:p w:rsidR="002D77FE" w:rsidRDefault="002D77FE" w:rsidP="00104373">
      <w:pPr>
        <w:spacing w:line="360" w:lineRule="auto"/>
        <w:rPr>
          <w:rFonts w:ascii="Palatino Linotype" w:eastAsia="Times New Roman" w:hAnsi="Palatino Linotype" w:cs="Times New Roman"/>
          <w:sz w:val="22"/>
          <w:szCs w:val="22"/>
          <w:lang w:eastAsia="en-GB"/>
        </w:rPr>
      </w:pPr>
    </w:p>
    <w:p w:rsidR="00104796" w:rsidRPr="00F6710F" w:rsidRDefault="002D77FE" w:rsidP="00104373">
      <w:pPr>
        <w:spacing w:line="360" w:lineRule="auto"/>
        <w:rPr>
          <w:rFonts w:ascii="Palatino Linotype" w:eastAsia="Times New Roman" w:hAnsi="Palatino Linotype" w:cs="Times New Roman"/>
          <w:sz w:val="22"/>
          <w:szCs w:val="22"/>
          <w:lang w:eastAsia="en-GB"/>
        </w:rPr>
      </w:pPr>
      <w:r>
        <w:rPr>
          <w:rFonts w:ascii="Palatino Linotype" w:eastAsia="Times New Roman" w:hAnsi="Palatino Linotype" w:cs="Times New Roman"/>
          <w:sz w:val="22"/>
          <w:szCs w:val="22"/>
          <w:lang w:eastAsia="en-GB"/>
        </w:rPr>
        <w:t xml:space="preserve">Lee Parkhill of Cornerstone Barristers represented Worcestershire County Council.  </w:t>
      </w:r>
    </w:p>
    <w:sectPr w:rsidR="00104796" w:rsidRPr="00F6710F" w:rsidSect="00EE27A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4D89" w:rsidRDefault="001C4D89" w:rsidP="0090224B">
      <w:r>
        <w:separator/>
      </w:r>
    </w:p>
  </w:endnote>
  <w:endnote w:type="continuationSeparator" w:id="0">
    <w:p w:rsidR="001C4D89" w:rsidRDefault="001C4D89" w:rsidP="0090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4D89" w:rsidRDefault="001C4D89" w:rsidP="0090224B">
      <w:r>
        <w:separator/>
      </w:r>
    </w:p>
  </w:footnote>
  <w:footnote w:type="continuationSeparator" w:id="0">
    <w:p w:rsidR="001C4D89" w:rsidRDefault="001C4D89" w:rsidP="0090224B">
      <w:r>
        <w:continuationSeparator/>
      </w:r>
    </w:p>
  </w:footnote>
  <w:footnote w:id="1">
    <w:p w:rsidR="007750A1" w:rsidRDefault="007750A1">
      <w:pPr>
        <w:pStyle w:val="FootnoteText"/>
      </w:pPr>
      <w:r>
        <w:rPr>
          <w:rStyle w:val="FootnoteReference"/>
        </w:rPr>
        <w:footnoteRef/>
      </w:r>
      <w:r>
        <w:t xml:space="preserve"> </w:t>
      </w:r>
      <w:r w:rsidRPr="007750A1">
        <w:rPr>
          <w:rFonts w:ascii="Palatino Linotype" w:hAnsi="Palatino Linotype"/>
          <w:sz w:val="18"/>
          <w:szCs w:val="18"/>
        </w:rPr>
        <w:t>Or other qualifying provision of the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2658F"/>
    <w:multiLevelType w:val="multilevel"/>
    <w:tmpl w:val="8F040B5C"/>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6522C"/>
    <w:multiLevelType w:val="multilevel"/>
    <w:tmpl w:val="31AA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96"/>
    <w:rsid w:val="000242C7"/>
    <w:rsid w:val="00026A02"/>
    <w:rsid w:val="00104373"/>
    <w:rsid w:val="00104796"/>
    <w:rsid w:val="001C4D89"/>
    <w:rsid w:val="001E2274"/>
    <w:rsid w:val="00254328"/>
    <w:rsid w:val="002D77FE"/>
    <w:rsid w:val="00497737"/>
    <w:rsid w:val="00571B9C"/>
    <w:rsid w:val="006C0D74"/>
    <w:rsid w:val="006F4651"/>
    <w:rsid w:val="007750A1"/>
    <w:rsid w:val="008B772B"/>
    <w:rsid w:val="0090224B"/>
    <w:rsid w:val="00DD5220"/>
    <w:rsid w:val="00E76A85"/>
    <w:rsid w:val="00EE27A4"/>
    <w:rsid w:val="00F6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37B9FA"/>
  <w14:defaultImageDpi w14:val="32767"/>
  <w15:chartTrackingRefBased/>
  <w15:docId w15:val="{34C86D96-373E-E64F-893B-BB0A17C5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796"/>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90224B"/>
    <w:rPr>
      <w:sz w:val="20"/>
      <w:szCs w:val="20"/>
    </w:rPr>
  </w:style>
  <w:style w:type="character" w:customStyle="1" w:styleId="FootnoteTextChar">
    <w:name w:val="Footnote Text Char"/>
    <w:basedOn w:val="DefaultParagraphFont"/>
    <w:link w:val="FootnoteText"/>
    <w:uiPriority w:val="99"/>
    <w:semiHidden/>
    <w:rsid w:val="0090224B"/>
    <w:rPr>
      <w:sz w:val="20"/>
      <w:szCs w:val="20"/>
    </w:rPr>
  </w:style>
  <w:style w:type="character" w:styleId="FootnoteReference">
    <w:name w:val="footnote reference"/>
    <w:basedOn w:val="DefaultParagraphFont"/>
    <w:uiPriority w:val="99"/>
    <w:semiHidden/>
    <w:unhideWhenUsed/>
    <w:rsid w:val="0090224B"/>
    <w:rPr>
      <w:vertAlign w:val="superscript"/>
    </w:rPr>
  </w:style>
  <w:style w:type="paragraph" w:styleId="ListParagraph">
    <w:name w:val="List Paragraph"/>
    <w:basedOn w:val="Normal"/>
    <w:uiPriority w:val="34"/>
    <w:qFormat/>
    <w:rsid w:val="0090224B"/>
    <w:pPr>
      <w:ind w:left="720"/>
      <w:contextualSpacing/>
    </w:pPr>
  </w:style>
  <w:style w:type="paragraph" w:styleId="BalloonText">
    <w:name w:val="Balloon Text"/>
    <w:basedOn w:val="Normal"/>
    <w:link w:val="BalloonTextChar"/>
    <w:uiPriority w:val="99"/>
    <w:semiHidden/>
    <w:unhideWhenUsed/>
    <w:rsid w:val="008B77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772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34630">
      <w:bodyDiv w:val="1"/>
      <w:marLeft w:val="0"/>
      <w:marRight w:val="0"/>
      <w:marTop w:val="0"/>
      <w:marBottom w:val="0"/>
      <w:divBdr>
        <w:top w:val="none" w:sz="0" w:space="0" w:color="auto"/>
        <w:left w:val="none" w:sz="0" w:space="0" w:color="auto"/>
        <w:bottom w:val="none" w:sz="0" w:space="0" w:color="auto"/>
        <w:right w:val="none" w:sz="0" w:space="0" w:color="auto"/>
      </w:divBdr>
      <w:divsChild>
        <w:div w:id="1486584554">
          <w:marLeft w:val="0"/>
          <w:marRight w:val="0"/>
          <w:marTop w:val="0"/>
          <w:marBottom w:val="0"/>
          <w:divBdr>
            <w:top w:val="none" w:sz="0" w:space="0" w:color="auto"/>
            <w:left w:val="none" w:sz="0" w:space="0" w:color="auto"/>
            <w:bottom w:val="none" w:sz="0" w:space="0" w:color="auto"/>
            <w:right w:val="none" w:sz="0" w:space="0" w:color="auto"/>
          </w:divBdr>
          <w:divsChild>
            <w:div w:id="1285578314">
              <w:marLeft w:val="0"/>
              <w:marRight w:val="0"/>
              <w:marTop w:val="0"/>
              <w:marBottom w:val="0"/>
              <w:divBdr>
                <w:top w:val="none" w:sz="0" w:space="0" w:color="auto"/>
                <w:left w:val="none" w:sz="0" w:space="0" w:color="auto"/>
                <w:bottom w:val="none" w:sz="0" w:space="0" w:color="auto"/>
                <w:right w:val="none" w:sz="0" w:space="0" w:color="auto"/>
              </w:divBdr>
              <w:divsChild>
                <w:div w:id="12537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07827">
      <w:bodyDiv w:val="1"/>
      <w:marLeft w:val="0"/>
      <w:marRight w:val="0"/>
      <w:marTop w:val="0"/>
      <w:marBottom w:val="0"/>
      <w:divBdr>
        <w:top w:val="none" w:sz="0" w:space="0" w:color="auto"/>
        <w:left w:val="none" w:sz="0" w:space="0" w:color="auto"/>
        <w:bottom w:val="none" w:sz="0" w:space="0" w:color="auto"/>
        <w:right w:val="none" w:sz="0" w:space="0" w:color="auto"/>
      </w:divBdr>
      <w:divsChild>
        <w:div w:id="660501928">
          <w:marLeft w:val="0"/>
          <w:marRight w:val="0"/>
          <w:marTop w:val="0"/>
          <w:marBottom w:val="0"/>
          <w:divBdr>
            <w:top w:val="none" w:sz="0" w:space="0" w:color="auto"/>
            <w:left w:val="none" w:sz="0" w:space="0" w:color="auto"/>
            <w:bottom w:val="none" w:sz="0" w:space="0" w:color="auto"/>
            <w:right w:val="none" w:sz="0" w:space="0" w:color="auto"/>
          </w:divBdr>
          <w:divsChild>
            <w:div w:id="1521629412">
              <w:marLeft w:val="0"/>
              <w:marRight w:val="0"/>
              <w:marTop w:val="0"/>
              <w:marBottom w:val="0"/>
              <w:divBdr>
                <w:top w:val="none" w:sz="0" w:space="0" w:color="auto"/>
                <w:left w:val="none" w:sz="0" w:space="0" w:color="auto"/>
                <w:bottom w:val="none" w:sz="0" w:space="0" w:color="auto"/>
                <w:right w:val="none" w:sz="0" w:space="0" w:color="auto"/>
              </w:divBdr>
              <w:divsChild>
                <w:div w:id="4341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36654">
      <w:bodyDiv w:val="1"/>
      <w:marLeft w:val="0"/>
      <w:marRight w:val="0"/>
      <w:marTop w:val="0"/>
      <w:marBottom w:val="0"/>
      <w:divBdr>
        <w:top w:val="none" w:sz="0" w:space="0" w:color="auto"/>
        <w:left w:val="none" w:sz="0" w:space="0" w:color="auto"/>
        <w:bottom w:val="none" w:sz="0" w:space="0" w:color="auto"/>
        <w:right w:val="none" w:sz="0" w:space="0" w:color="auto"/>
      </w:divBdr>
      <w:divsChild>
        <w:div w:id="1901135378">
          <w:marLeft w:val="0"/>
          <w:marRight w:val="0"/>
          <w:marTop w:val="0"/>
          <w:marBottom w:val="0"/>
          <w:divBdr>
            <w:top w:val="none" w:sz="0" w:space="0" w:color="auto"/>
            <w:left w:val="none" w:sz="0" w:space="0" w:color="auto"/>
            <w:bottom w:val="none" w:sz="0" w:space="0" w:color="auto"/>
            <w:right w:val="none" w:sz="0" w:space="0" w:color="auto"/>
          </w:divBdr>
          <w:divsChild>
            <w:div w:id="1324580369">
              <w:marLeft w:val="0"/>
              <w:marRight w:val="0"/>
              <w:marTop w:val="0"/>
              <w:marBottom w:val="0"/>
              <w:divBdr>
                <w:top w:val="none" w:sz="0" w:space="0" w:color="auto"/>
                <w:left w:val="none" w:sz="0" w:space="0" w:color="auto"/>
                <w:bottom w:val="none" w:sz="0" w:space="0" w:color="auto"/>
                <w:right w:val="none" w:sz="0" w:space="0" w:color="auto"/>
              </w:divBdr>
              <w:divsChild>
                <w:div w:id="1327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2595">
      <w:bodyDiv w:val="1"/>
      <w:marLeft w:val="0"/>
      <w:marRight w:val="0"/>
      <w:marTop w:val="0"/>
      <w:marBottom w:val="0"/>
      <w:divBdr>
        <w:top w:val="none" w:sz="0" w:space="0" w:color="auto"/>
        <w:left w:val="none" w:sz="0" w:space="0" w:color="auto"/>
        <w:bottom w:val="none" w:sz="0" w:space="0" w:color="auto"/>
        <w:right w:val="none" w:sz="0" w:space="0" w:color="auto"/>
      </w:divBdr>
      <w:divsChild>
        <w:div w:id="425270345">
          <w:marLeft w:val="0"/>
          <w:marRight w:val="0"/>
          <w:marTop w:val="0"/>
          <w:marBottom w:val="0"/>
          <w:divBdr>
            <w:top w:val="none" w:sz="0" w:space="0" w:color="auto"/>
            <w:left w:val="none" w:sz="0" w:space="0" w:color="auto"/>
            <w:bottom w:val="none" w:sz="0" w:space="0" w:color="auto"/>
            <w:right w:val="none" w:sz="0" w:space="0" w:color="auto"/>
          </w:divBdr>
          <w:divsChild>
            <w:div w:id="46609106">
              <w:marLeft w:val="0"/>
              <w:marRight w:val="0"/>
              <w:marTop w:val="0"/>
              <w:marBottom w:val="0"/>
              <w:divBdr>
                <w:top w:val="none" w:sz="0" w:space="0" w:color="auto"/>
                <w:left w:val="none" w:sz="0" w:space="0" w:color="auto"/>
                <w:bottom w:val="none" w:sz="0" w:space="0" w:color="auto"/>
                <w:right w:val="none" w:sz="0" w:space="0" w:color="auto"/>
              </w:divBdr>
              <w:divsChild>
                <w:div w:id="1391732659">
                  <w:marLeft w:val="0"/>
                  <w:marRight w:val="0"/>
                  <w:marTop w:val="0"/>
                  <w:marBottom w:val="0"/>
                  <w:divBdr>
                    <w:top w:val="none" w:sz="0" w:space="0" w:color="auto"/>
                    <w:left w:val="none" w:sz="0" w:space="0" w:color="auto"/>
                    <w:bottom w:val="none" w:sz="0" w:space="0" w:color="auto"/>
                    <w:right w:val="none" w:sz="0" w:space="0" w:color="auto"/>
                  </w:divBdr>
                </w:div>
              </w:divsChild>
            </w:div>
            <w:div w:id="2099056985">
              <w:marLeft w:val="0"/>
              <w:marRight w:val="0"/>
              <w:marTop w:val="0"/>
              <w:marBottom w:val="0"/>
              <w:divBdr>
                <w:top w:val="none" w:sz="0" w:space="0" w:color="auto"/>
                <w:left w:val="none" w:sz="0" w:space="0" w:color="auto"/>
                <w:bottom w:val="none" w:sz="0" w:space="0" w:color="auto"/>
                <w:right w:val="none" w:sz="0" w:space="0" w:color="auto"/>
              </w:divBdr>
              <w:divsChild>
                <w:div w:id="9028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352">
          <w:marLeft w:val="0"/>
          <w:marRight w:val="0"/>
          <w:marTop w:val="0"/>
          <w:marBottom w:val="0"/>
          <w:divBdr>
            <w:top w:val="none" w:sz="0" w:space="0" w:color="auto"/>
            <w:left w:val="none" w:sz="0" w:space="0" w:color="auto"/>
            <w:bottom w:val="none" w:sz="0" w:space="0" w:color="auto"/>
            <w:right w:val="none" w:sz="0" w:space="0" w:color="auto"/>
          </w:divBdr>
          <w:divsChild>
            <w:div w:id="492263854">
              <w:marLeft w:val="0"/>
              <w:marRight w:val="0"/>
              <w:marTop w:val="0"/>
              <w:marBottom w:val="0"/>
              <w:divBdr>
                <w:top w:val="none" w:sz="0" w:space="0" w:color="auto"/>
                <w:left w:val="none" w:sz="0" w:space="0" w:color="auto"/>
                <w:bottom w:val="none" w:sz="0" w:space="0" w:color="auto"/>
                <w:right w:val="none" w:sz="0" w:space="0" w:color="auto"/>
              </w:divBdr>
              <w:divsChild>
                <w:div w:id="7298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DE04-63EF-3C4C-8A9C-ABF380AD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Parkhill</dc:creator>
  <cp:keywords/>
  <dc:description/>
  <cp:lastModifiedBy>Lee Parkhill</cp:lastModifiedBy>
  <cp:revision>2</cp:revision>
  <dcterms:created xsi:type="dcterms:W3CDTF">2021-03-20T11:34:00Z</dcterms:created>
  <dcterms:modified xsi:type="dcterms:W3CDTF">2021-03-22T14:50:00Z</dcterms:modified>
</cp:coreProperties>
</file>