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D55E" w14:textId="2D954380" w:rsidR="00C50F80" w:rsidRDefault="00C50F80">
      <w:bookmarkStart w:id="0" w:name="_Hlk156405326"/>
      <w:bookmarkEnd w:id="0"/>
    </w:p>
    <w:p w14:paraId="524B62DC" w14:textId="4ADB75E5" w:rsidR="00C50F80" w:rsidRDefault="00C50F80" w:rsidP="00C50F80">
      <w:pPr>
        <w:jc w:val="right"/>
      </w:pPr>
    </w:p>
    <w:p w14:paraId="7A7AADD8" w14:textId="4B1A0AB3" w:rsidR="000F5BB5" w:rsidRPr="00640B98" w:rsidRDefault="00BD0735" w:rsidP="00640B98">
      <w:pPr>
        <w:tabs>
          <w:tab w:val="center" w:pos="4672"/>
          <w:tab w:val="right" w:pos="9072"/>
        </w:tabs>
        <w:ind w:right="-22"/>
        <w:jc w:val="center"/>
        <w:rPr>
          <w:b/>
          <w:szCs w:val="24"/>
        </w:rPr>
      </w:pPr>
      <w:r w:rsidRPr="006D04A3">
        <w:rPr>
          <w:noProof/>
          <w:szCs w:val="24"/>
          <w:lang w:eastAsia="en-GB"/>
        </w:rPr>
        <w:drawing>
          <wp:inline distT="0" distB="0" distL="0" distR="0" wp14:anchorId="4CCECF4E" wp14:editId="34F3B502">
            <wp:extent cx="914400" cy="7715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inline>
        </w:drawing>
      </w:r>
    </w:p>
    <w:p w14:paraId="06B1A706" w14:textId="77777777" w:rsidR="000F5BB5" w:rsidRDefault="000F5BB5" w:rsidP="00C50F80">
      <w:pPr>
        <w:spacing w:after="60"/>
        <w:rPr>
          <w:rFonts w:eastAsia="Calibri"/>
          <w:b/>
          <w:bCs/>
          <w:szCs w:val="24"/>
        </w:rPr>
      </w:pPr>
    </w:p>
    <w:p w14:paraId="2DFB7569" w14:textId="621CD718" w:rsidR="00C50F80" w:rsidRDefault="00C50F80" w:rsidP="00C50F80">
      <w:pPr>
        <w:spacing w:after="60"/>
        <w:rPr>
          <w:rFonts w:eastAsia="Calibri"/>
          <w:b/>
          <w:bCs/>
          <w:szCs w:val="24"/>
        </w:rPr>
      </w:pPr>
      <w:r w:rsidRPr="00C50F80">
        <w:rPr>
          <w:rFonts w:eastAsia="Calibri"/>
          <w:b/>
          <w:bCs/>
          <w:szCs w:val="24"/>
        </w:rPr>
        <w:t>Neutral Citation Number: [202</w:t>
      </w:r>
      <w:r w:rsidR="00AC4B0F">
        <w:rPr>
          <w:rFonts w:eastAsia="Calibri"/>
          <w:b/>
          <w:bCs/>
          <w:szCs w:val="24"/>
        </w:rPr>
        <w:t>4</w:t>
      </w:r>
      <w:r w:rsidRPr="00C50F80">
        <w:rPr>
          <w:rFonts w:eastAsia="Calibri"/>
          <w:b/>
          <w:bCs/>
          <w:szCs w:val="24"/>
        </w:rPr>
        <w:t xml:space="preserve">] UKUT </w:t>
      </w:r>
      <w:r w:rsidR="00640B98">
        <w:rPr>
          <w:rFonts w:eastAsia="Calibri"/>
          <w:b/>
          <w:bCs/>
          <w:szCs w:val="24"/>
        </w:rPr>
        <w:t>24</w:t>
      </w:r>
      <w:r w:rsidRPr="00C50F80">
        <w:rPr>
          <w:rFonts w:eastAsia="Calibri"/>
          <w:b/>
          <w:bCs/>
          <w:szCs w:val="24"/>
        </w:rPr>
        <w:t xml:space="preserve"> (LC)  </w:t>
      </w:r>
    </w:p>
    <w:p w14:paraId="12FD582D" w14:textId="27200052" w:rsidR="00C50F80" w:rsidRDefault="00C50F80" w:rsidP="00CC7427">
      <w:pPr>
        <w:spacing w:after="60"/>
        <w:jc w:val="right"/>
        <w:rPr>
          <w:rFonts w:eastAsia="Calibri"/>
          <w:b/>
          <w:bCs/>
          <w:szCs w:val="24"/>
        </w:rPr>
      </w:pPr>
      <w:r>
        <w:rPr>
          <w:rFonts w:eastAsia="Calibri"/>
          <w:b/>
          <w:bCs/>
          <w:szCs w:val="24"/>
        </w:rPr>
        <w:t>Case No: LC-</w:t>
      </w:r>
      <w:r w:rsidR="001710C4">
        <w:rPr>
          <w:rFonts w:eastAsia="Calibri"/>
          <w:b/>
          <w:bCs/>
          <w:szCs w:val="24"/>
        </w:rPr>
        <w:t>202</w:t>
      </w:r>
      <w:r w:rsidR="00A2694A">
        <w:rPr>
          <w:rFonts w:eastAsia="Calibri"/>
          <w:b/>
          <w:bCs/>
          <w:szCs w:val="24"/>
        </w:rPr>
        <w:t>3-223</w:t>
      </w:r>
    </w:p>
    <w:p w14:paraId="53426810" w14:textId="1C2C6A0D" w:rsidR="00C50F80" w:rsidRDefault="00C50F80" w:rsidP="00C50F80">
      <w:pPr>
        <w:spacing w:after="60"/>
        <w:rPr>
          <w:rFonts w:eastAsia="Calibri"/>
          <w:b/>
          <w:bCs/>
          <w:szCs w:val="24"/>
        </w:rPr>
      </w:pPr>
      <w:r w:rsidRPr="00C50F80">
        <w:rPr>
          <w:rFonts w:eastAsia="Calibri"/>
          <w:b/>
          <w:bCs/>
          <w:szCs w:val="24"/>
        </w:rPr>
        <w:t>IN THE UPPER TRIBUNAL (LANDS CHAMBER)</w:t>
      </w:r>
    </w:p>
    <w:p w14:paraId="1D88C64F" w14:textId="56E85245" w:rsidR="00942361" w:rsidRDefault="00711034" w:rsidP="00C50F80">
      <w:pPr>
        <w:spacing w:after="60"/>
        <w:rPr>
          <w:rFonts w:eastAsia="Calibri"/>
          <w:b/>
          <w:bCs/>
          <w:szCs w:val="24"/>
        </w:rPr>
      </w:pPr>
      <w:r w:rsidRPr="00C50F80">
        <w:rPr>
          <w:rFonts w:eastAsia="Calibri"/>
          <w:b/>
          <w:bCs/>
          <w:szCs w:val="24"/>
        </w:rPr>
        <w:t>ON APPEAL FROM THE FIRST-TIER TRIBUNAL (PROPERTY CHAMBER)</w:t>
      </w:r>
    </w:p>
    <w:p w14:paraId="7BAD8F15" w14:textId="0CD62581" w:rsidR="00C50F80" w:rsidRPr="00E26CBA" w:rsidRDefault="00C50F80" w:rsidP="00C50F80">
      <w:pPr>
        <w:spacing w:after="60"/>
        <w:rPr>
          <w:rFonts w:eastAsia="Calibri"/>
          <w:b/>
          <w:bCs/>
          <w:szCs w:val="24"/>
        </w:rPr>
      </w:pPr>
      <w:r w:rsidRPr="00C50F80">
        <w:rPr>
          <w:rFonts w:eastAsia="Calibri"/>
          <w:b/>
          <w:bCs/>
          <w:szCs w:val="24"/>
        </w:rPr>
        <w:t>FTT Ref</w:t>
      </w:r>
      <w:r>
        <w:rPr>
          <w:rFonts w:eastAsia="Calibri"/>
          <w:b/>
          <w:bCs/>
          <w:szCs w:val="24"/>
        </w:rPr>
        <w:t xml:space="preserve">: </w:t>
      </w:r>
      <w:r w:rsidR="00FC7165">
        <w:rPr>
          <w:b/>
          <w:bCs/>
        </w:rPr>
        <w:t>CAM/26UL/HNA</w:t>
      </w:r>
      <w:r w:rsidR="001604E1">
        <w:rPr>
          <w:b/>
          <w:bCs/>
        </w:rPr>
        <w:t>/2022/0003</w:t>
      </w:r>
    </w:p>
    <w:p w14:paraId="156A2E68" w14:textId="77777777" w:rsidR="00512C4B" w:rsidRDefault="00ED590B" w:rsidP="00D31CC4">
      <w:pPr>
        <w:tabs>
          <w:tab w:val="right" w:pos="9072"/>
        </w:tabs>
        <w:ind w:right="-43"/>
        <w:jc w:val="right"/>
        <w:rPr>
          <w:b/>
          <w:bCs/>
          <w:szCs w:val="24"/>
        </w:rPr>
      </w:pPr>
      <w:r>
        <w:rPr>
          <w:b/>
          <w:bCs/>
          <w:szCs w:val="24"/>
        </w:rPr>
        <w:t>Royal Courts of Justice</w:t>
      </w:r>
      <w:r w:rsidR="00512C4B">
        <w:rPr>
          <w:b/>
          <w:bCs/>
          <w:szCs w:val="24"/>
        </w:rPr>
        <w:t xml:space="preserve">, </w:t>
      </w:r>
    </w:p>
    <w:p w14:paraId="43A134C2" w14:textId="03DB76D3" w:rsidR="00D31CC4" w:rsidRPr="00D31CC4" w:rsidRDefault="00512C4B" w:rsidP="00D31CC4">
      <w:pPr>
        <w:tabs>
          <w:tab w:val="right" w:pos="9072"/>
        </w:tabs>
        <w:ind w:right="-43"/>
        <w:jc w:val="right"/>
        <w:rPr>
          <w:b/>
          <w:bCs/>
          <w:szCs w:val="24"/>
        </w:rPr>
      </w:pPr>
      <w:r>
        <w:rPr>
          <w:b/>
          <w:bCs/>
          <w:szCs w:val="24"/>
        </w:rPr>
        <w:t>Strand, London WC2A</w:t>
      </w:r>
    </w:p>
    <w:p w14:paraId="1E086897" w14:textId="77777777" w:rsidR="00D31CC4" w:rsidRDefault="00D31CC4" w:rsidP="004633F3">
      <w:pPr>
        <w:tabs>
          <w:tab w:val="right" w:pos="9072"/>
        </w:tabs>
        <w:ind w:right="-43"/>
        <w:jc w:val="right"/>
        <w:rPr>
          <w:b/>
          <w:bCs/>
          <w:szCs w:val="24"/>
        </w:rPr>
      </w:pPr>
    </w:p>
    <w:p w14:paraId="72C66D5E" w14:textId="6221ED02" w:rsidR="00F01F28" w:rsidRDefault="00954226" w:rsidP="005501DD">
      <w:pPr>
        <w:tabs>
          <w:tab w:val="right" w:pos="9072"/>
        </w:tabs>
        <w:ind w:right="-43"/>
        <w:jc w:val="right"/>
        <w:rPr>
          <w:b/>
          <w:bCs/>
          <w:szCs w:val="24"/>
        </w:rPr>
      </w:pPr>
      <w:r>
        <w:rPr>
          <w:b/>
          <w:bCs/>
          <w:szCs w:val="24"/>
        </w:rPr>
        <w:t>29</w:t>
      </w:r>
      <w:r w:rsidR="003C6A33">
        <w:rPr>
          <w:b/>
          <w:bCs/>
          <w:szCs w:val="24"/>
        </w:rPr>
        <w:t xml:space="preserve"> </w:t>
      </w:r>
      <w:r w:rsidR="007F64F6">
        <w:rPr>
          <w:b/>
          <w:bCs/>
          <w:szCs w:val="24"/>
        </w:rPr>
        <w:t xml:space="preserve">January </w:t>
      </w:r>
      <w:r w:rsidR="00D31CC4">
        <w:rPr>
          <w:b/>
          <w:bCs/>
          <w:szCs w:val="24"/>
        </w:rPr>
        <w:t>202</w:t>
      </w:r>
      <w:r w:rsidR="00AC4B0F">
        <w:rPr>
          <w:b/>
          <w:bCs/>
          <w:szCs w:val="24"/>
        </w:rPr>
        <w:t>4</w:t>
      </w:r>
    </w:p>
    <w:p w14:paraId="5A96E488" w14:textId="35CD8FE6" w:rsidR="002E709F" w:rsidRPr="006D04A3" w:rsidRDefault="00287CDE" w:rsidP="0045712B">
      <w:pPr>
        <w:tabs>
          <w:tab w:val="right" w:pos="9072"/>
        </w:tabs>
        <w:ind w:right="-43"/>
        <w:rPr>
          <w:b/>
          <w:szCs w:val="24"/>
        </w:rPr>
      </w:pPr>
      <w:r w:rsidRPr="006D04A3">
        <w:rPr>
          <w:b/>
          <w:szCs w:val="24"/>
        </w:rPr>
        <w:t xml:space="preserve">                                                                                                                                   </w:t>
      </w:r>
    </w:p>
    <w:p w14:paraId="1CBDFCEA" w14:textId="07C98F9B" w:rsidR="006C5EC2" w:rsidRPr="006D04A3" w:rsidRDefault="00752AC1" w:rsidP="007F3FCA">
      <w:pPr>
        <w:tabs>
          <w:tab w:val="center" w:pos="4672"/>
          <w:tab w:val="right" w:pos="9072"/>
        </w:tabs>
        <w:ind w:right="-22"/>
        <w:jc w:val="center"/>
        <w:rPr>
          <w:b/>
          <w:szCs w:val="24"/>
        </w:rPr>
      </w:pPr>
      <w:r w:rsidRPr="006D04A3">
        <w:rPr>
          <w:b/>
          <w:szCs w:val="24"/>
        </w:rPr>
        <w:t xml:space="preserve">TRIBUNALS, </w:t>
      </w:r>
      <w:proofErr w:type="gramStart"/>
      <w:r w:rsidRPr="006D04A3">
        <w:rPr>
          <w:b/>
          <w:szCs w:val="24"/>
        </w:rPr>
        <w:t>COURTS</w:t>
      </w:r>
      <w:proofErr w:type="gramEnd"/>
      <w:r w:rsidRPr="006D04A3">
        <w:rPr>
          <w:b/>
          <w:szCs w:val="24"/>
        </w:rPr>
        <w:t xml:space="preserve"> AND ENFORCEMENT ACT 2007</w:t>
      </w:r>
    </w:p>
    <w:p w14:paraId="68027B60" w14:textId="77777777" w:rsidR="007C4F60" w:rsidRPr="006D04A3" w:rsidRDefault="007C4F60" w:rsidP="007F3FCA">
      <w:pPr>
        <w:tabs>
          <w:tab w:val="center" w:pos="4672"/>
          <w:tab w:val="right" w:pos="9072"/>
        </w:tabs>
        <w:ind w:right="-22"/>
        <w:jc w:val="center"/>
        <w:rPr>
          <w:b/>
          <w:szCs w:val="24"/>
        </w:rPr>
      </w:pPr>
    </w:p>
    <w:p w14:paraId="5BA2D589" w14:textId="5E899248" w:rsidR="00D65585" w:rsidRDefault="009C22CF" w:rsidP="000F5BB5">
      <w:pPr>
        <w:jc w:val="both"/>
        <w:rPr>
          <w:b/>
          <w:i/>
          <w:iCs/>
          <w:szCs w:val="24"/>
        </w:rPr>
      </w:pPr>
      <w:r>
        <w:rPr>
          <w:b/>
          <w:i/>
          <w:iCs/>
          <w:szCs w:val="24"/>
        </w:rPr>
        <w:t>HOUSING – CIVIL PENALTY – validity of notice of intent to impose financial penalty – adequacy of statement of reasons – whether failure to give sufficient reasons invalidated pe</w:t>
      </w:r>
      <w:r w:rsidR="005B259A">
        <w:rPr>
          <w:b/>
          <w:i/>
          <w:iCs/>
          <w:szCs w:val="24"/>
        </w:rPr>
        <w:t>nalty</w:t>
      </w:r>
      <w:r>
        <w:rPr>
          <w:b/>
          <w:i/>
          <w:iCs/>
          <w:szCs w:val="24"/>
        </w:rPr>
        <w:t xml:space="preserve"> </w:t>
      </w:r>
      <w:r w:rsidR="00512C4B">
        <w:rPr>
          <w:b/>
          <w:i/>
          <w:iCs/>
          <w:szCs w:val="24"/>
        </w:rPr>
        <w:t>or was cured by other material from which reasons</w:t>
      </w:r>
      <w:r w:rsidR="00A274E2">
        <w:rPr>
          <w:b/>
          <w:i/>
          <w:iCs/>
          <w:szCs w:val="24"/>
        </w:rPr>
        <w:t xml:space="preserve"> were apparent </w:t>
      </w:r>
      <w:r>
        <w:rPr>
          <w:b/>
          <w:i/>
          <w:iCs/>
          <w:szCs w:val="24"/>
        </w:rPr>
        <w:t xml:space="preserve">– </w:t>
      </w:r>
      <w:r w:rsidR="00EF681A">
        <w:rPr>
          <w:b/>
          <w:i/>
          <w:iCs/>
          <w:szCs w:val="24"/>
        </w:rPr>
        <w:t>section</w:t>
      </w:r>
      <w:r w:rsidR="00A274E2">
        <w:rPr>
          <w:b/>
          <w:i/>
          <w:iCs/>
          <w:szCs w:val="24"/>
        </w:rPr>
        <w:t xml:space="preserve"> </w:t>
      </w:r>
      <w:r>
        <w:rPr>
          <w:b/>
          <w:i/>
          <w:iCs/>
          <w:szCs w:val="24"/>
        </w:rPr>
        <w:t xml:space="preserve">249A, Housing Act 2004 – </w:t>
      </w:r>
      <w:r w:rsidR="00512C4B">
        <w:rPr>
          <w:b/>
          <w:i/>
          <w:iCs/>
          <w:szCs w:val="24"/>
        </w:rPr>
        <w:t>M</w:t>
      </w:r>
      <w:r>
        <w:rPr>
          <w:b/>
          <w:i/>
          <w:iCs/>
          <w:szCs w:val="24"/>
        </w:rPr>
        <w:t xml:space="preserve">anagement of </w:t>
      </w:r>
      <w:r w:rsidR="00512C4B">
        <w:rPr>
          <w:b/>
          <w:i/>
          <w:iCs/>
          <w:szCs w:val="24"/>
        </w:rPr>
        <w:t>H</w:t>
      </w:r>
      <w:r>
        <w:rPr>
          <w:b/>
          <w:i/>
          <w:iCs/>
          <w:szCs w:val="24"/>
        </w:rPr>
        <w:t xml:space="preserve">ouses in </w:t>
      </w:r>
      <w:r w:rsidR="00512C4B">
        <w:rPr>
          <w:b/>
          <w:i/>
          <w:iCs/>
          <w:szCs w:val="24"/>
        </w:rPr>
        <w:t>M</w:t>
      </w:r>
      <w:r>
        <w:rPr>
          <w:b/>
          <w:i/>
          <w:iCs/>
          <w:szCs w:val="24"/>
        </w:rPr>
        <w:t xml:space="preserve">ultiple </w:t>
      </w:r>
      <w:r w:rsidR="00512C4B">
        <w:rPr>
          <w:b/>
          <w:i/>
          <w:iCs/>
          <w:szCs w:val="24"/>
        </w:rPr>
        <w:t>O</w:t>
      </w:r>
      <w:r>
        <w:rPr>
          <w:b/>
          <w:i/>
          <w:iCs/>
          <w:szCs w:val="24"/>
        </w:rPr>
        <w:t xml:space="preserve">ccupation (England) Regulations 2006 – appeal </w:t>
      </w:r>
      <w:proofErr w:type="gramStart"/>
      <w:r w:rsidR="007F64F6">
        <w:rPr>
          <w:b/>
          <w:i/>
          <w:iCs/>
          <w:szCs w:val="24"/>
        </w:rPr>
        <w:t>allowed</w:t>
      </w:r>
      <w:proofErr w:type="gramEnd"/>
    </w:p>
    <w:p w14:paraId="01F81300" w14:textId="77777777" w:rsidR="00D65585" w:rsidRPr="006D04A3" w:rsidRDefault="00D65585" w:rsidP="00B52761">
      <w:pPr>
        <w:rPr>
          <w:b/>
          <w:i/>
          <w:iCs/>
          <w:szCs w:val="24"/>
        </w:rPr>
      </w:pPr>
    </w:p>
    <w:p w14:paraId="067ACB70" w14:textId="212A6C52" w:rsidR="00AC03B7" w:rsidRDefault="001C4DCE" w:rsidP="00EE068B">
      <w:pPr>
        <w:rPr>
          <w:b/>
          <w:szCs w:val="24"/>
        </w:rPr>
      </w:pPr>
      <w:r w:rsidRPr="001C4DCE">
        <w:rPr>
          <w:b/>
          <w:szCs w:val="24"/>
        </w:rPr>
        <w:t>BETWEEN:</w:t>
      </w:r>
    </w:p>
    <w:p w14:paraId="37D708E1" w14:textId="072694BC" w:rsidR="00A2694A" w:rsidRDefault="00A2694A" w:rsidP="00A2694A">
      <w:pPr>
        <w:jc w:val="center"/>
        <w:rPr>
          <w:b/>
          <w:szCs w:val="24"/>
        </w:rPr>
      </w:pPr>
      <w:r>
        <w:rPr>
          <w:b/>
          <w:szCs w:val="24"/>
        </w:rPr>
        <w:t>WELWYN HATFIELD BOROUGH COUNCIL</w:t>
      </w:r>
    </w:p>
    <w:p w14:paraId="0616D349" w14:textId="0133B616" w:rsidR="00D2684B" w:rsidRDefault="00D2684B" w:rsidP="00766755">
      <w:pPr>
        <w:jc w:val="center"/>
        <w:rPr>
          <w:b/>
          <w:szCs w:val="24"/>
        </w:rPr>
      </w:pPr>
    </w:p>
    <w:p w14:paraId="00C34793" w14:textId="3AA3CD1B" w:rsidR="00162031" w:rsidRPr="001C4DCE" w:rsidRDefault="005A4237" w:rsidP="00D12519">
      <w:pPr>
        <w:ind w:right="240"/>
        <w:jc w:val="right"/>
        <w:rPr>
          <w:b/>
          <w:szCs w:val="24"/>
        </w:rPr>
      </w:pPr>
      <w:r>
        <w:rPr>
          <w:b/>
          <w:szCs w:val="24"/>
        </w:rPr>
        <w:t xml:space="preserve"> </w:t>
      </w:r>
      <w:r w:rsidR="00640B98">
        <w:rPr>
          <w:b/>
          <w:szCs w:val="24"/>
        </w:rPr>
        <w:t>Appellant</w:t>
      </w:r>
    </w:p>
    <w:p w14:paraId="3E23D7E0" w14:textId="517A002E" w:rsidR="00DE7583" w:rsidRDefault="001C4DCE" w:rsidP="003B4DC4">
      <w:pPr>
        <w:jc w:val="center"/>
        <w:rPr>
          <w:b/>
          <w:szCs w:val="24"/>
        </w:rPr>
      </w:pPr>
      <w:r>
        <w:rPr>
          <w:b/>
          <w:szCs w:val="24"/>
        </w:rPr>
        <w:t>-and-</w:t>
      </w:r>
    </w:p>
    <w:p w14:paraId="21B7C7E6" w14:textId="77777777" w:rsidR="00FA5899" w:rsidRDefault="00FA5899" w:rsidP="003B4DC4">
      <w:pPr>
        <w:jc w:val="center"/>
        <w:rPr>
          <w:b/>
          <w:szCs w:val="24"/>
        </w:rPr>
      </w:pPr>
    </w:p>
    <w:p w14:paraId="787E03CA" w14:textId="2BE76021" w:rsidR="00181C6C" w:rsidRDefault="00207821" w:rsidP="002A6085">
      <w:pPr>
        <w:jc w:val="center"/>
        <w:rPr>
          <w:b/>
          <w:szCs w:val="24"/>
        </w:rPr>
      </w:pPr>
      <w:bookmarkStart w:id="1" w:name="_Hlk156287195"/>
      <w:r>
        <w:rPr>
          <w:b/>
          <w:szCs w:val="24"/>
        </w:rPr>
        <w:t>HONGMEI WANG</w:t>
      </w:r>
      <w:bookmarkEnd w:id="1"/>
    </w:p>
    <w:p w14:paraId="3D954D90" w14:textId="54335FDE" w:rsidR="00CE1EAD" w:rsidRPr="006D04A3" w:rsidRDefault="006B4FCE" w:rsidP="00162031">
      <w:pPr>
        <w:ind w:right="98"/>
        <w:jc w:val="right"/>
        <w:rPr>
          <w:b/>
          <w:szCs w:val="24"/>
        </w:rPr>
      </w:pPr>
      <w:r>
        <w:rPr>
          <w:b/>
          <w:szCs w:val="24"/>
        </w:rPr>
        <w:t>Respondent</w:t>
      </w:r>
    </w:p>
    <w:p w14:paraId="512DE149" w14:textId="77777777" w:rsidR="00484DA6" w:rsidRPr="006D04A3" w:rsidRDefault="00484DA6" w:rsidP="007F3FCA">
      <w:pPr>
        <w:tabs>
          <w:tab w:val="left" w:pos="3119"/>
        </w:tabs>
        <w:rPr>
          <w:b/>
          <w:bCs/>
          <w:szCs w:val="24"/>
        </w:rPr>
      </w:pPr>
    </w:p>
    <w:p w14:paraId="05B0182E" w14:textId="77777777" w:rsidR="00D12519" w:rsidRDefault="00D12519" w:rsidP="00CC21C7">
      <w:pPr>
        <w:tabs>
          <w:tab w:val="left" w:pos="3119"/>
        </w:tabs>
        <w:rPr>
          <w:b/>
          <w:bCs/>
          <w:szCs w:val="24"/>
        </w:rPr>
      </w:pPr>
    </w:p>
    <w:p w14:paraId="6DF8DEF8" w14:textId="4EEEB44D" w:rsidR="00E8041D" w:rsidRDefault="00207821" w:rsidP="00D65585">
      <w:pPr>
        <w:tabs>
          <w:tab w:val="left" w:pos="3119"/>
        </w:tabs>
        <w:jc w:val="center"/>
        <w:rPr>
          <w:b/>
          <w:bCs/>
          <w:szCs w:val="24"/>
        </w:rPr>
      </w:pPr>
      <w:r>
        <w:rPr>
          <w:b/>
          <w:bCs/>
          <w:szCs w:val="24"/>
        </w:rPr>
        <w:t xml:space="preserve">132 </w:t>
      </w:r>
      <w:proofErr w:type="spellStart"/>
      <w:r>
        <w:rPr>
          <w:b/>
          <w:bCs/>
          <w:szCs w:val="24"/>
        </w:rPr>
        <w:t>Aldykes</w:t>
      </w:r>
      <w:proofErr w:type="spellEnd"/>
      <w:r>
        <w:rPr>
          <w:b/>
          <w:bCs/>
          <w:szCs w:val="24"/>
        </w:rPr>
        <w:t>,</w:t>
      </w:r>
    </w:p>
    <w:p w14:paraId="7B58FA05" w14:textId="67FA0EAC" w:rsidR="00207821" w:rsidRDefault="000F5BB5" w:rsidP="00D65585">
      <w:pPr>
        <w:tabs>
          <w:tab w:val="left" w:pos="3119"/>
        </w:tabs>
        <w:jc w:val="center"/>
        <w:rPr>
          <w:b/>
          <w:bCs/>
          <w:szCs w:val="24"/>
        </w:rPr>
      </w:pPr>
      <w:r>
        <w:rPr>
          <w:b/>
          <w:bCs/>
          <w:szCs w:val="24"/>
        </w:rPr>
        <w:t>Roe Green,</w:t>
      </w:r>
      <w:r w:rsidR="00954226">
        <w:rPr>
          <w:b/>
          <w:bCs/>
          <w:szCs w:val="24"/>
        </w:rPr>
        <w:t xml:space="preserve"> </w:t>
      </w:r>
      <w:r w:rsidR="00207821">
        <w:rPr>
          <w:b/>
          <w:bCs/>
          <w:szCs w:val="24"/>
        </w:rPr>
        <w:t>Hatfield</w:t>
      </w:r>
    </w:p>
    <w:p w14:paraId="6DBDFE2D" w14:textId="77777777" w:rsidR="00512C4B" w:rsidRDefault="00512C4B" w:rsidP="00D65585">
      <w:pPr>
        <w:tabs>
          <w:tab w:val="left" w:pos="3119"/>
        </w:tabs>
        <w:jc w:val="center"/>
        <w:rPr>
          <w:b/>
          <w:bCs/>
          <w:szCs w:val="24"/>
        </w:rPr>
      </w:pPr>
    </w:p>
    <w:p w14:paraId="0A017D8E" w14:textId="77777777" w:rsidR="00D80DD0" w:rsidRPr="006D04A3" w:rsidRDefault="00D80DD0" w:rsidP="009C22CF">
      <w:pPr>
        <w:tabs>
          <w:tab w:val="left" w:pos="3119"/>
        </w:tabs>
        <w:rPr>
          <w:b/>
          <w:bCs/>
          <w:szCs w:val="24"/>
        </w:rPr>
      </w:pPr>
    </w:p>
    <w:p w14:paraId="7C6D8FC7" w14:textId="45C12E93" w:rsidR="00E81739" w:rsidRDefault="00207821" w:rsidP="00031E2D">
      <w:pPr>
        <w:jc w:val="center"/>
        <w:rPr>
          <w:b/>
          <w:bCs/>
          <w:szCs w:val="24"/>
        </w:rPr>
      </w:pPr>
      <w:r>
        <w:rPr>
          <w:b/>
          <w:bCs/>
          <w:szCs w:val="24"/>
        </w:rPr>
        <w:t>Martin Rodger KC, Deputy Chamber President</w:t>
      </w:r>
    </w:p>
    <w:p w14:paraId="52A73B9E" w14:textId="77777777" w:rsidR="00954226" w:rsidRDefault="00954226" w:rsidP="00031E2D">
      <w:pPr>
        <w:jc w:val="center"/>
        <w:rPr>
          <w:b/>
          <w:bCs/>
          <w:szCs w:val="24"/>
        </w:rPr>
      </w:pPr>
    </w:p>
    <w:p w14:paraId="65E1A937" w14:textId="4A8E5D89" w:rsidR="00B82967" w:rsidRDefault="005A4237" w:rsidP="00031E2D">
      <w:pPr>
        <w:jc w:val="center"/>
        <w:rPr>
          <w:b/>
          <w:bCs/>
          <w:szCs w:val="24"/>
        </w:rPr>
      </w:pPr>
      <w:r>
        <w:rPr>
          <w:b/>
          <w:bCs/>
          <w:szCs w:val="24"/>
        </w:rPr>
        <w:t>16 January 2024</w:t>
      </w:r>
    </w:p>
    <w:p w14:paraId="7880A568" w14:textId="77777777" w:rsidR="00D12519" w:rsidRDefault="00D12519" w:rsidP="00580D16">
      <w:pPr>
        <w:rPr>
          <w:rFonts w:eastAsia="Calibri"/>
          <w:bCs/>
          <w:szCs w:val="24"/>
        </w:rPr>
      </w:pPr>
    </w:p>
    <w:p w14:paraId="6A1E4B30" w14:textId="77777777" w:rsidR="00954226" w:rsidRDefault="00954226" w:rsidP="00580D16">
      <w:pPr>
        <w:rPr>
          <w:rFonts w:eastAsia="Calibri"/>
          <w:bCs/>
          <w:i/>
          <w:iCs/>
          <w:szCs w:val="24"/>
        </w:rPr>
      </w:pPr>
    </w:p>
    <w:p w14:paraId="0511988D" w14:textId="39006B16" w:rsidR="009A5657" w:rsidRDefault="009C22CF" w:rsidP="00580D16">
      <w:pPr>
        <w:rPr>
          <w:rFonts w:eastAsia="Calibri"/>
          <w:bCs/>
          <w:szCs w:val="24"/>
        </w:rPr>
      </w:pPr>
      <w:r w:rsidRPr="009C22CF">
        <w:rPr>
          <w:rFonts w:eastAsia="Calibri"/>
          <w:bCs/>
          <w:i/>
          <w:iCs/>
          <w:szCs w:val="24"/>
        </w:rPr>
        <w:t>Tara O’Leary</w:t>
      </w:r>
      <w:r>
        <w:rPr>
          <w:rFonts w:eastAsia="Calibri"/>
          <w:bCs/>
          <w:szCs w:val="24"/>
        </w:rPr>
        <w:t xml:space="preserve">, instructed by Welwyn Hatfield Borough Council </w:t>
      </w:r>
      <w:r w:rsidR="009A5657" w:rsidRPr="00FF5955">
        <w:rPr>
          <w:rFonts w:eastAsia="Calibri"/>
          <w:bCs/>
          <w:szCs w:val="24"/>
        </w:rPr>
        <w:t xml:space="preserve">for the </w:t>
      </w:r>
      <w:r w:rsidR="00640B98">
        <w:rPr>
          <w:rFonts w:eastAsia="Calibri"/>
          <w:bCs/>
          <w:szCs w:val="24"/>
        </w:rPr>
        <w:t>Appellant</w:t>
      </w:r>
    </w:p>
    <w:p w14:paraId="6DDD7069" w14:textId="0BBC8068" w:rsidR="009A5657" w:rsidRDefault="00512C4B" w:rsidP="00580D16">
      <w:pPr>
        <w:rPr>
          <w:rFonts w:eastAsia="Calibri"/>
          <w:bCs/>
          <w:szCs w:val="24"/>
        </w:rPr>
      </w:pPr>
      <w:r>
        <w:rPr>
          <w:rFonts w:eastAsia="Calibri"/>
          <w:bCs/>
          <w:szCs w:val="24"/>
        </w:rPr>
        <w:t>T</w:t>
      </w:r>
      <w:r w:rsidR="00FF3CAC">
        <w:rPr>
          <w:rFonts w:eastAsia="Calibri"/>
          <w:bCs/>
          <w:szCs w:val="24"/>
        </w:rPr>
        <w:t xml:space="preserve">he </w:t>
      </w:r>
      <w:r w:rsidR="006B4FCE">
        <w:rPr>
          <w:rFonts w:eastAsia="Calibri"/>
          <w:bCs/>
          <w:szCs w:val="24"/>
        </w:rPr>
        <w:t>respondent</w:t>
      </w:r>
      <w:r>
        <w:rPr>
          <w:rFonts w:eastAsia="Calibri"/>
          <w:bCs/>
          <w:szCs w:val="24"/>
        </w:rPr>
        <w:t xml:space="preserve"> did not attend </w:t>
      </w:r>
      <w:r w:rsidR="007F64F6">
        <w:rPr>
          <w:rFonts w:eastAsia="Calibri"/>
          <w:bCs/>
          <w:szCs w:val="24"/>
        </w:rPr>
        <w:t xml:space="preserve">the hearing </w:t>
      </w:r>
      <w:r w:rsidR="00EF681A">
        <w:rPr>
          <w:rFonts w:eastAsia="Calibri"/>
          <w:bCs/>
          <w:szCs w:val="24"/>
        </w:rPr>
        <w:t xml:space="preserve">and was not </w:t>
      </w:r>
      <w:proofErr w:type="gramStart"/>
      <w:r w:rsidR="00EF681A">
        <w:rPr>
          <w:rFonts w:eastAsia="Calibri"/>
          <w:bCs/>
          <w:szCs w:val="24"/>
        </w:rPr>
        <w:t>represented</w:t>
      </w:r>
      <w:proofErr w:type="gramEnd"/>
      <w:r w:rsidR="00D12519">
        <w:rPr>
          <w:rFonts w:eastAsia="Calibri"/>
          <w:bCs/>
          <w:szCs w:val="24"/>
        </w:rPr>
        <w:t xml:space="preserve"> </w:t>
      </w:r>
    </w:p>
    <w:p w14:paraId="6C196549" w14:textId="77777777" w:rsidR="000F5BB5" w:rsidRPr="000F5BB5" w:rsidRDefault="000F5BB5" w:rsidP="00580D16">
      <w:pPr>
        <w:rPr>
          <w:rFonts w:eastAsia="Calibri"/>
          <w:bCs/>
          <w:szCs w:val="24"/>
        </w:rPr>
      </w:pPr>
    </w:p>
    <w:p w14:paraId="5F81B4A0" w14:textId="76C19DBB" w:rsidR="00BF0500" w:rsidRDefault="00206A70" w:rsidP="00CB63D7">
      <w:pPr>
        <w:pStyle w:val="Footer"/>
        <w:jc w:val="center"/>
        <w:rPr>
          <w:b/>
          <w:szCs w:val="24"/>
        </w:rPr>
      </w:pPr>
      <w:r w:rsidRPr="006D04A3">
        <w:rPr>
          <w:b/>
          <w:szCs w:val="24"/>
        </w:rPr>
        <w:t>© CROWN COPYRIGHT 202</w:t>
      </w:r>
      <w:r w:rsidR="00AC4B0F">
        <w:rPr>
          <w:b/>
          <w:szCs w:val="24"/>
        </w:rPr>
        <w:t>4</w:t>
      </w:r>
    </w:p>
    <w:p w14:paraId="43E5A406" w14:textId="213709CE" w:rsidR="009D044F" w:rsidRDefault="00BF0500" w:rsidP="005C09FF">
      <w:pPr>
        <w:rPr>
          <w:szCs w:val="24"/>
        </w:rPr>
      </w:pPr>
      <w:r>
        <w:rPr>
          <w:b/>
          <w:szCs w:val="24"/>
        </w:rPr>
        <w:br w:type="page"/>
      </w:r>
      <w:r w:rsidR="009D044F" w:rsidRPr="006D04A3">
        <w:rPr>
          <w:szCs w:val="24"/>
        </w:rPr>
        <w:lastRenderedPageBreak/>
        <w:t>The following case</w:t>
      </w:r>
      <w:r w:rsidR="00FF5955">
        <w:rPr>
          <w:szCs w:val="24"/>
        </w:rPr>
        <w:t>s</w:t>
      </w:r>
      <w:r w:rsidR="009D044F" w:rsidRPr="006D04A3">
        <w:rPr>
          <w:szCs w:val="24"/>
        </w:rPr>
        <w:t xml:space="preserve"> </w:t>
      </w:r>
      <w:r w:rsidR="00FF5955">
        <w:rPr>
          <w:szCs w:val="24"/>
        </w:rPr>
        <w:t>are</w:t>
      </w:r>
      <w:r w:rsidR="009D044F" w:rsidRPr="006D04A3">
        <w:rPr>
          <w:szCs w:val="24"/>
        </w:rPr>
        <w:t xml:space="preserve"> referred to in this decision:</w:t>
      </w:r>
    </w:p>
    <w:p w14:paraId="577FEB8B" w14:textId="617C06D1" w:rsidR="00BE5AD2" w:rsidRDefault="00BE5AD2" w:rsidP="005C09FF">
      <w:pPr>
        <w:rPr>
          <w:szCs w:val="24"/>
        </w:rPr>
      </w:pPr>
    </w:p>
    <w:p w14:paraId="7CC55A32" w14:textId="00A70DC8" w:rsidR="000F1E7E" w:rsidRDefault="000F1E7E" w:rsidP="00BE5AD2">
      <w:pPr>
        <w:spacing w:after="120"/>
        <w:rPr>
          <w:i/>
          <w:iCs/>
          <w:szCs w:val="24"/>
        </w:rPr>
      </w:pPr>
      <w:r w:rsidRPr="000F1E7E">
        <w:rPr>
          <w:i/>
          <w:iCs/>
          <w:szCs w:val="24"/>
        </w:rPr>
        <w:t xml:space="preserve">Director of Public Prosecutions v McFarlane </w:t>
      </w:r>
      <w:r w:rsidRPr="000F1E7E">
        <w:rPr>
          <w:szCs w:val="24"/>
        </w:rPr>
        <w:t>[2020] 1 Cr. App. R. 4</w:t>
      </w:r>
    </w:p>
    <w:p w14:paraId="0B5F83C9" w14:textId="2C16ABB0" w:rsidR="00BE5AD2" w:rsidRDefault="00BE5AD2" w:rsidP="00BE5AD2">
      <w:pPr>
        <w:spacing w:after="120"/>
        <w:rPr>
          <w:i/>
          <w:iCs/>
          <w:szCs w:val="24"/>
        </w:rPr>
      </w:pPr>
      <w:r w:rsidRPr="00BE5AD2">
        <w:rPr>
          <w:i/>
          <w:iCs/>
          <w:szCs w:val="24"/>
        </w:rPr>
        <w:t>Maharaj v Liverpool C</w:t>
      </w:r>
      <w:r w:rsidR="005B259A">
        <w:rPr>
          <w:i/>
          <w:iCs/>
          <w:szCs w:val="24"/>
        </w:rPr>
        <w:t xml:space="preserve">ity </w:t>
      </w:r>
      <w:r w:rsidRPr="00BE5AD2">
        <w:rPr>
          <w:i/>
          <w:iCs/>
          <w:szCs w:val="24"/>
        </w:rPr>
        <w:t>C</w:t>
      </w:r>
      <w:r w:rsidR="005B259A">
        <w:rPr>
          <w:i/>
          <w:iCs/>
          <w:szCs w:val="24"/>
        </w:rPr>
        <w:t>ouncil</w:t>
      </w:r>
      <w:r w:rsidRPr="00BE5AD2">
        <w:rPr>
          <w:i/>
          <w:iCs/>
          <w:szCs w:val="24"/>
        </w:rPr>
        <w:t xml:space="preserve"> </w:t>
      </w:r>
      <w:r w:rsidRPr="00BE5AD2">
        <w:rPr>
          <w:szCs w:val="24"/>
        </w:rPr>
        <w:t>[2022] UKUT 140 (LC)</w:t>
      </w:r>
      <w:r w:rsidRPr="00BE5AD2">
        <w:rPr>
          <w:i/>
          <w:iCs/>
          <w:szCs w:val="24"/>
        </w:rPr>
        <w:t xml:space="preserve"> </w:t>
      </w:r>
    </w:p>
    <w:p w14:paraId="7A3FDD93" w14:textId="240E0D48" w:rsidR="007F64F6" w:rsidRDefault="007F64F6" w:rsidP="00BE5AD2">
      <w:pPr>
        <w:pStyle w:val="ListParagraph"/>
        <w:spacing w:after="120"/>
        <w:ind w:left="0"/>
        <w:contextualSpacing w:val="0"/>
        <w:jc w:val="both"/>
        <w:rPr>
          <w:i/>
          <w:iCs/>
          <w:szCs w:val="24"/>
        </w:rPr>
      </w:pPr>
      <w:r w:rsidRPr="007F64F6">
        <w:rPr>
          <w:i/>
          <w:iCs/>
          <w:szCs w:val="24"/>
        </w:rPr>
        <w:t xml:space="preserve">Mannai Investment Co Ltd v Eagle Star Life Assurance Co. Ltd </w:t>
      </w:r>
      <w:r w:rsidRPr="007F64F6">
        <w:rPr>
          <w:szCs w:val="24"/>
        </w:rPr>
        <w:t>[1997] AC 749</w:t>
      </w:r>
    </w:p>
    <w:p w14:paraId="3E91F015" w14:textId="361261D4" w:rsidR="005B259A" w:rsidRPr="005B259A" w:rsidRDefault="005B259A" w:rsidP="00BE5AD2">
      <w:pPr>
        <w:pStyle w:val="ListParagraph"/>
        <w:spacing w:after="120"/>
        <w:ind w:left="0"/>
        <w:contextualSpacing w:val="0"/>
        <w:jc w:val="both"/>
        <w:rPr>
          <w:szCs w:val="24"/>
        </w:rPr>
      </w:pPr>
      <w:r w:rsidRPr="005B259A">
        <w:rPr>
          <w:i/>
          <w:iCs/>
          <w:szCs w:val="24"/>
        </w:rPr>
        <w:t xml:space="preserve">Nash v Birmingham Crown Court </w:t>
      </w:r>
      <w:r w:rsidRPr="005B259A">
        <w:rPr>
          <w:szCs w:val="24"/>
        </w:rPr>
        <w:t>[2005] EWHC 338</w:t>
      </w:r>
    </w:p>
    <w:p w14:paraId="26E3DEE9" w14:textId="0EEB5848" w:rsidR="00B97F9F" w:rsidRPr="00B97F9F" w:rsidRDefault="00B97F9F" w:rsidP="00BE5AD2">
      <w:pPr>
        <w:pStyle w:val="ListParagraph"/>
        <w:spacing w:after="120"/>
        <w:ind w:left="0"/>
        <w:contextualSpacing w:val="0"/>
        <w:jc w:val="both"/>
        <w:rPr>
          <w:szCs w:val="24"/>
        </w:rPr>
      </w:pPr>
      <w:r w:rsidRPr="00B97F9F">
        <w:rPr>
          <w:i/>
          <w:iCs/>
          <w:szCs w:val="24"/>
        </w:rPr>
        <w:t xml:space="preserve">Newbold v Coal Authority </w:t>
      </w:r>
      <w:r w:rsidRPr="00B97F9F">
        <w:rPr>
          <w:szCs w:val="24"/>
        </w:rPr>
        <w:t>[2014] 1 WLR 1288</w:t>
      </w:r>
    </w:p>
    <w:p w14:paraId="05EAD987" w14:textId="57064723" w:rsidR="00BE5AD2" w:rsidRDefault="00BE5AD2" w:rsidP="00BE5AD2">
      <w:pPr>
        <w:pStyle w:val="ListParagraph"/>
        <w:spacing w:after="120"/>
        <w:ind w:left="0"/>
        <w:contextualSpacing w:val="0"/>
        <w:jc w:val="both"/>
        <w:rPr>
          <w:szCs w:val="24"/>
        </w:rPr>
      </w:pPr>
      <w:r w:rsidRPr="00BE5AD2">
        <w:rPr>
          <w:i/>
          <w:iCs/>
          <w:szCs w:val="24"/>
        </w:rPr>
        <w:t>R v Home Sec., Ex p Je</w:t>
      </w:r>
      <w:r w:rsidR="00A274E2">
        <w:rPr>
          <w:i/>
          <w:iCs/>
          <w:szCs w:val="24"/>
        </w:rPr>
        <w:t>y</w:t>
      </w:r>
      <w:r w:rsidRPr="00BE5AD2">
        <w:rPr>
          <w:i/>
          <w:iCs/>
          <w:szCs w:val="24"/>
        </w:rPr>
        <w:t>eanthan</w:t>
      </w:r>
      <w:r w:rsidRPr="00BE5AD2">
        <w:rPr>
          <w:szCs w:val="24"/>
        </w:rPr>
        <w:t xml:space="preserve"> [2000] 1 WLR 354</w:t>
      </w:r>
    </w:p>
    <w:p w14:paraId="0E2A7EEB" w14:textId="59F1D613" w:rsidR="004E2648" w:rsidRDefault="00BE5AD2" w:rsidP="00BE5AD2">
      <w:pPr>
        <w:pStyle w:val="ListParagraph"/>
        <w:spacing w:after="120"/>
        <w:ind w:left="0"/>
        <w:contextualSpacing w:val="0"/>
        <w:jc w:val="both"/>
        <w:rPr>
          <w:szCs w:val="24"/>
        </w:rPr>
      </w:pPr>
      <w:r w:rsidRPr="00BE5AD2">
        <w:rPr>
          <w:i/>
          <w:iCs/>
          <w:szCs w:val="24"/>
        </w:rPr>
        <w:t xml:space="preserve">Waltham Forest LBC v Younis </w:t>
      </w:r>
      <w:r w:rsidRPr="00BE5AD2">
        <w:rPr>
          <w:szCs w:val="24"/>
        </w:rPr>
        <w:t>[2019] UKUT 362 (LC)</w:t>
      </w:r>
    </w:p>
    <w:p w14:paraId="2DAE7CF5" w14:textId="19FC859E" w:rsidR="00BE5AD2" w:rsidRDefault="00BE5AD2">
      <w:pPr>
        <w:rPr>
          <w:szCs w:val="24"/>
        </w:rPr>
      </w:pPr>
      <w:r>
        <w:rPr>
          <w:szCs w:val="24"/>
        </w:rPr>
        <w:br w:type="page"/>
      </w:r>
    </w:p>
    <w:p w14:paraId="08326DD5" w14:textId="1DC2BC46" w:rsidR="00B844CF" w:rsidRPr="00B844CF" w:rsidRDefault="00B844CF" w:rsidP="00F907E0">
      <w:pPr>
        <w:tabs>
          <w:tab w:val="left" w:pos="3119"/>
        </w:tabs>
        <w:spacing w:after="360"/>
        <w:jc w:val="both"/>
        <w:rPr>
          <w:b/>
          <w:bCs/>
          <w:szCs w:val="24"/>
        </w:rPr>
      </w:pPr>
      <w:r w:rsidRPr="00B844CF">
        <w:rPr>
          <w:b/>
          <w:bCs/>
          <w:szCs w:val="24"/>
        </w:rPr>
        <w:lastRenderedPageBreak/>
        <w:t>Introduction</w:t>
      </w:r>
    </w:p>
    <w:p w14:paraId="358D8977" w14:textId="02D4BBB6" w:rsidR="00DB1491" w:rsidRPr="00EF681A" w:rsidRDefault="00164E8D" w:rsidP="00F907E0">
      <w:pPr>
        <w:pStyle w:val="ListParagraph"/>
        <w:numPr>
          <w:ilvl w:val="0"/>
          <w:numId w:val="7"/>
        </w:numPr>
        <w:spacing w:after="360"/>
        <w:ind w:left="567" w:hanging="567"/>
        <w:contextualSpacing w:val="0"/>
        <w:jc w:val="both"/>
        <w:rPr>
          <w:szCs w:val="24"/>
        </w:rPr>
      </w:pPr>
      <w:r w:rsidRPr="00EF681A">
        <w:rPr>
          <w:szCs w:val="24"/>
        </w:rPr>
        <w:t xml:space="preserve">This appeal is concerned with the </w:t>
      </w:r>
      <w:r w:rsidR="00B81448" w:rsidRPr="00EF681A">
        <w:rPr>
          <w:szCs w:val="24"/>
        </w:rPr>
        <w:t xml:space="preserve">validity of two notices </w:t>
      </w:r>
      <w:r w:rsidR="00EF681A">
        <w:rPr>
          <w:szCs w:val="24"/>
        </w:rPr>
        <w:t xml:space="preserve">of intent </w:t>
      </w:r>
      <w:r w:rsidR="00954226">
        <w:rPr>
          <w:szCs w:val="24"/>
        </w:rPr>
        <w:t xml:space="preserve">to impose financial penalties </w:t>
      </w:r>
      <w:r w:rsidR="00FA0937" w:rsidRPr="00EF681A">
        <w:rPr>
          <w:rFonts w:eastAsia="Calibri"/>
          <w:bCs/>
          <w:szCs w:val="24"/>
        </w:rPr>
        <w:t xml:space="preserve">under </w:t>
      </w:r>
      <w:r w:rsidR="00954226">
        <w:rPr>
          <w:rFonts w:eastAsia="Calibri"/>
          <w:bCs/>
          <w:szCs w:val="24"/>
        </w:rPr>
        <w:t xml:space="preserve">section 249A, </w:t>
      </w:r>
      <w:r w:rsidR="00FA0937" w:rsidRPr="00EF681A">
        <w:rPr>
          <w:rFonts w:eastAsia="Calibri"/>
          <w:bCs/>
          <w:szCs w:val="24"/>
        </w:rPr>
        <w:t>Housing Act 2004</w:t>
      </w:r>
      <w:r w:rsidR="00512C4B" w:rsidRPr="00EF681A">
        <w:rPr>
          <w:rFonts w:eastAsia="Calibri"/>
          <w:bCs/>
          <w:szCs w:val="24"/>
        </w:rPr>
        <w:t xml:space="preserve"> (the 2024 Act)</w:t>
      </w:r>
      <w:r w:rsidR="00954226">
        <w:rPr>
          <w:rFonts w:eastAsia="Calibri"/>
          <w:bCs/>
          <w:szCs w:val="24"/>
        </w:rPr>
        <w:t xml:space="preserve"> </w:t>
      </w:r>
      <w:r w:rsidR="00954226" w:rsidRPr="00954226">
        <w:rPr>
          <w:rFonts w:eastAsia="Calibri"/>
          <w:bCs/>
          <w:szCs w:val="24"/>
        </w:rPr>
        <w:t>given by the appellant, Welwyn Hatfield Borough Council</w:t>
      </w:r>
      <w:r w:rsidR="00954226">
        <w:rPr>
          <w:rFonts w:eastAsia="Calibri"/>
          <w:bCs/>
          <w:szCs w:val="24"/>
        </w:rPr>
        <w:t xml:space="preserve"> to</w:t>
      </w:r>
      <w:r w:rsidR="00FA0937" w:rsidRPr="00EF681A">
        <w:rPr>
          <w:rFonts w:eastAsia="Calibri"/>
          <w:bCs/>
          <w:szCs w:val="24"/>
        </w:rPr>
        <w:t xml:space="preserve"> the respondent, Mrs </w:t>
      </w:r>
      <w:proofErr w:type="spellStart"/>
      <w:r w:rsidR="00FA0937" w:rsidRPr="00EF681A">
        <w:rPr>
          <w:rFonts w:eastAsia="Calibri"/>
          <w:bCs/>
          <w:szCs w:val="24"/>
        </w:rPr>
        <w:t>Hongmei</w:t>
      </w:r>
      <w:proofErr w:type="spellEnd"/>
      <w:r w:rsidR="00FA0937" w:rsidRPr="00EF681A">
        <w:rPr>
          <w:rFonts w:eastAsia="Calibri"/>
          <w:bCs/>
          <w:szCs w:val="24"/>
        </w:rPr>
        <w:t xml:space="preserve"> Wang</w:t>
      </w:r>
      <w:r w:rsidR="00954226">
        <w:rPr>
          <w:rFonts w:eastAsia="Calibri"/>
          <w:bCs/>
          <w:szCs w:val="24"/>
        </w:rPr>
        <w:t xml:space="preserve">.  </w:t>
      </w:r>
      <w:r w:rsidR="00954226" w:rsidRPr="00954226">
        <w:rPr>
          <w:rFonts w:eastAsia="Calibri"/>
          <w:bCs/>
          <w:szCs w:val="24"/>
        </w:rPr>
        <w:t>The notices inform</w:t>
      </w:r>
      <w:r w:rsidR="00954226">
        <w:rPr>
          <w:rFonts w:eastAsia="Calibri"/>
          <w:bCs/>
          <w:szCs w:val="24"/>
        </w:rPr>
        <w:t>ed Mrs Wang</w:t>
      </w:r>
      <w:r w:rsidR="00FA0937" w:rsidRPr="00EF681A">
        <w:rPr>
          <w:rFonts w:eastAsia="Calibri"/>
          <w:bCs/>
          <w:szCs w:val="24"/>
        </w:rPr>
        <w:t xml:space="preserve"> of the </w:t>
      </w:r>
      <w:r w:rsidR="007F7743">
        <w:rPr>
          <w:rFonts w:eastAsia="Calibri"/>
          <w:bCs/>
          <w:szCs w:val="24"/>
        </w:rPr>
        <w:t>Council</w:t>
      </w:r>
      <w:r w:rsidR="00FA0937" w:rsidRPr="00EF681A">
        <w:rPr>
          <w:rFonts w:eastAsia="Calibri"/>
          <w:bCs/>
          <w:szCs w:val="24"/>
        </w:rPr>
        <w:t xml:space="preserve">’s </w:t>
      </w:r>
      <w:r w:rsidR="00EF681A">
        <w:rPr>
          <w:rFonts w:eastAsia="Calibri"/>
          <w:bCs/>
          <w:szCs w:val="24"/>
        </w:rPr>
        <w:t xml:space="preserve">proposal </w:t>
      </w:r>
      <w:r w:rsidR="00FA0937" w:rsidRPr="00EF681A">
        <w:rPr>
          <w:rFonts w:eastAsia="Calibri"/>
          <w:bCs/>
          <w:szCs w:val="24"/>
        </w:rPr>
        <w:t>to impose financial penalties and invite</w:t>
      </w:r>
      <w:r w:rsidR="00954226">
        <w:rPr>
          <w:rFonts w:eastAsia="Calibri"/>
          <w:bCs/>
          <w:szCs w:val="24"/>
        </w:rPr>
        <w:t>d</w:t>
      </w:r>
      <w:r w:rsidR="00FA0937" w:rsidRPr="00EF681A">
        <w:rPr>
          <w:rFonts w:eastAsia="Calibri"/>
          <w:bCs/>
          <w:szCs w:val="24"/>
        </w:rPr>
        <w:t xml:space="preserve"> her to make representation</w:t>
      </w:r>
      <w:r w:rsidR="00EF681A">
        <w:rPr>
          <w:rFonts w:eastAsia="Calibri"/>
          <w:bCs/>
          <w:szCs w:val="24"/>
        </w:rPr>
        <w:t>s.</w:t>
      </w:r>
      <w:r w:rsidR="00FA0937" w:rsidRPr="00EF681A">
        <w:rPr>
          <w:rFonts w:eastAsia="Calibri"/>
          <w:bCs/>
          <w:szCs w:val="24"/>
        </w:rPr>
        <w:t xml:space="preserve">  </w:t>
      </w:r>
      <w:r w:rsidR="00954226">
        <w:rPr>
          <w:rFonts w:eastAsia="Calibri"/>
          <w:bCs/>
          <w:szCs w:val="24"/>
        </w:rPr>
        <w:t>Mrs Wang</w:t>
      </w:r>
      <w:r w:rsidR="007F67D6" w:rsidRPr="00EF681A">
        <w:rPr>
          <w:rFonts w:eastAsia="Calibri"/>
          <w:bCs/>
          <w:szCs w:val="24"/>
        </w:rPr>
        <w:t xml:space="preserve"> made no representations and the </w:t>
      </w:r>
      <w:r w:rsidR="007F7743">
        <w:rPr>
          <w:rFonts w:eastAsia="Calibri"/>
          <w:bCs/>
          <w:szCs w:val="24"/>
        </w:rPr>
        <w:t xml:space="preserve">Council </w:t>
      </w:r>
      <w:r w:rsidR="00EF681A" w:rsidRPr="00EF681A">
        <w:rPr>
          <w:rFonts w:eastAsia="Calibri"/>
          <w:bCs/>
          <w:szCs w:val="24"/>
        </w:rPr>
        <w:t>proceeded to</w:t>
      </w:r>
      <w:r w:rsidR="007F67D6" w:rsidRPr="00EF681A">
        <w:rPr>
          <w:rFonts w:eastAsia="Calibri"/>
          <w:bCs/>
          <w:szCs w:val="24"/>
        </w:rPr>
        <w:t xml:space="preserve"> impose penalties of £</w:t>
      </w:r>
      <w:r w:rsidR="00EF681A" w:rsidRPr="00EF681A">
        <w:rPr>
          <w:rFonts w:eastAsia="Calibri"/>
          <w:bCs/>
          <w:szCs w:val="24"/>
        </w:rPr>
        <w:t>21,000</w:t>
      </w:r>
      <w:r w:rsidR="007F67D6" w:rsidRPr="00EF681A">
        <w:rPr>
          <w:rFonts w:eastAsia="Calibri"/>
          <w:bCs/>
          <w:szCs w:val="24"/>
        </w:rPr>
        <w:t>.</w:t>
      </w:r>
      <w:r w:rsidR="00EF681A" w:rsidRPr="00EF681A">
        <w:rPr>
          <w:rFonts w:eastAsia="Calibri"/>
          <w:bCs/>
          <w:szCs w:val="24"/>
        </w:rPr>
        <w:t xml:space="preserve">  </w:t>
      </w:r>
      <w:r w:rsidR="00EF681A">
        <w:rPr>
          <w:rFonts w:eastAsia="Calibri"/>
          <w:bCs/>
          <w:szCs w:val="24"/>
        </w:rPr>
        <w:t>Th</w:t>
      </w:r>
      <w:r w:rsidR="00FA0937" w:rsidRPr="00EF681A">
        <w:rPr>
          <w:rFonts w:eastAsia="Calibri"/>
          <w:bCs/>
          <w:szCs w:val="24"/>
        </w:rPr>
        <w:t>e First-tier Tribunal (Property Chamber) (the FTT)</w:t>
      </w:r>
      <w:r w:rsidR="00643857" w:rsidRPr="00EF681A">
        <w:rPr>
          <w:rFonts w:eastAsia="Calibri"/>
          <w:bCs/>
          <w:szCs w:val="24"/>
        </w:rPr>
        <w:t xml:space="preserve"> </w:t>
      </w:r>
      <w:r w:rsidR="00EF681A">
        <w:rPr>
          <w:rFonts w:eastAsia="Calibri"/>
          <w:bCs/>
          <w:szCs w:val="24"/>
        </w:rPr>
        <w:t xml:space="preserve">subsequently allowed </w:t>
      </w:r>
      <w:r w:rsidR="00954226">
        <w:rPr>
          <w:rFonts w:eastAsia="Calibri"/>
          <w:bCs/>
          <w:szCs w:val="24"/>
        </w:rPr>
        <w:t>Mrs Wang’s</w:t>
      </w:r>
      <w:r w:rsidR="00EF681A">
        <w:rPr>
          <w:rFonts w:eastAsia="Calibri"/>
          <w:bCs/>
          <w:szCs w:val="24"/>
        </w:rPr>
        <w:t xml:space="preserve"> respondent’s appeal against those penalties on the grounds </w:t>
      </w:r>
      <w:r w:rsidR="00643857" w:rsidRPr="00EF681A">
        <w:rPr>
          <w:rFonts w:eastAsia="Calibri"/>
          <w:bCs/>
          <w:szCs w:val="24"/>
        </w:rPr>
        <w:t>that the information given in the notice</w:t>
      </w:r>
      <w:r w:rsidR="00EF681A">
        <w:rPr>
          <w:rFonts w:eastAsia="Calibri"/>
          <w:bCs/>
          <w:szCs w:val="24"/>
        </w:rPr>
        <w:t>s</w:t>
      </w:r>
      <w:r w:rsidR="00E83EA9">
        <w:rPr>
          <w:rFonts w:eastAsia="Calibri"/>
          <w:bCs/>
          <w:szCs w:val="24"/>
        </w:rPr>
        <w:t xml:space="preserve"> of intent</w:t>
      </w:r>
      <w:r w:rsidR="00643857" w:rsidRPr="00EF681A">
        <w:rPr>
          <w:rFonts w:eastAsia="Calibri"/>
          <w:bCs/>
          <w:szCs w:val="24"/>
        </w:rPr>
        <w:t xml:space="preserve"> </w:t>
      </w:r>
      <w:r w:rsidR="00EF681A">
        <w:rPr>
          <w:rFonts w:eastAsia="Calibri"/>
          <w:bCs/>
          <w:szCs w:val="24"/>
        </w:rPr>
        <w:t>had been</w:t>
      </w:r>
      <w:r w:rsidR="00643857" w:rsidRPr="00EF681A">
        <w:rPr>
          <w:rFonts w:eastAsia="Calibri"/>
          <w:bCs/>
          <w:szCs w:val="24"/>
        </w:rPr>
        <w:t xml:space="preserve"> insufficient</w:t>
      </w:r>
      <w:r w:rsidR="00A45C0D" w:rsidRPr="00EF681A">
        <w:rPr>
          <w:rFonts w:eastAsia="Calibri"/>
          <w:bCs/>
          <w:szCs w:val="24"/>
        </w:rPr>
        <w:t xml:space="preserve"> to enable her to make meaningful representations</w:t>
      </w:r>
      <w:r w:rsidR="00512C4B" w:rsidRPr="00EF681A">
        <w:rPr>
          <w:rFonts w:eastAsia="Calibri"/>
          <w:bCs/>
          <w:szCs w:val="24"/>
        </w:rPr>
        <w:t xml:space="preserve"> and that the notices were therefore invalid</w:t>
      </w:r>
      <w:r w:rsidR="00A45C0D" w:rsidRPr="00EF681A">
        <w:rPr>
          <w:rFonts w:eastAsia="Calibri"/>
          <w:bCs/>
          <w:szCs w:val="24"/>
        </w:rPr>
        <w:t xml:space="preserve">.  </w:t>
      </w:r>
    </w:p>
    <w:p w14:paraId="0CF85D25" w14:textId="164FA443" w:rsidR="00D12519" w:rsidRDefault="00A45C0D" w:rsidP="00F907E0">
      <w:pPr>
        <w:pStyle w:val="ListParagraph"/>
        <w:numPr>
          <w:ilvl w:val="0"/>
          <w:numId w:val="7"/>
        </w:numPr>
        <w:spacing w:after="360"/>
        <w:ind w:left="567" w:hanging="567"/>
        <w:contextualSpacing w:val="0"/>
        <w:jc w:val="both"/>
        <w:rPr>
          <w:szCs w:val="24"/>
        </w:rPr>
      </w:pPr>
      <w:r>
        <w:rPr>
          <w:szCs w:val="24"/>
        </w:rPr>
        <w:t>With the per</w:t>
      </w:r>
      <w:r w:rsidR="002F16F5">
        <w:rPr>
          <w:szCs w:val="24"/>
        </w:rPr>
        <w:t>miss</w:t>
      </w:r>
      <w:r>
        <w:rPr>
          <w:szCs w:val="24"/>
        </w:rPr>
        <w:t xml:space="preserve">ion of this Tribunal the </w:t>
      </w:r>
      <w:r w:rsidR="007F7743">
        <w:rPr>
          <w:szCs w:val="24"/>
        </w:rPr>
        <w:t xml:space="preserve">Council </w:t>
      </w:r>
      <w:r>
        <w:rPr>
          <w:szCs w:val="24"/>
        </w:rPr>
        <w:t>now appeals against that decision.</w:t>
      </w:r>
    </w:p>
    <w:p w14:paraId="2975205A" w14:textId="77777777" w:rsidR="00A23018" w:rsidRDefault="00297A21" w:rsidP="00297A21">
      <w:pPr>
        <w:pStyle w:val="ListParagraph"/>
        <w:numPr>
          <w:ilvl w:val="0"/>
          <w:numId w:val="7"/>
        </w:numPr>
        <w:spacing w:after="360"/>
        <w:ind w:left="567" w:hanging="567"/>
        <w:contextualSpacing w:val="0"/>
        <w:jc w:val="both"/>
        <w:rPr>
          <w:szCs w:val="24"/>
        </w:rPr>
      </w:pPr>
      <w:r>
        <w:rPr>
          <w:szCs w:val="24"/>
        </w:rPr>
        <w:t>The appeal raises two issue</w:t>
      </w:r>
      <w:r w:rsidR="00A23018">
        <w:rPr>
          <w:szCs w:val="24"/>
        </w:rPr>
        <w:t>s</w:t>
      </w:r>
      <w:r>
        <w:rPr>
          <w:szCs w:val="24"/>
        </w:rPr>
        <w:t xml:space="preserve"> concerning </w:t>
      </w:r>
      <w:r w:rsidRPr="00297A21">
        <w:rPr>
          <w:szCs w:val="24"/>
        </w:rPr>
        <w:t xml:space="preserve">the requirement </w:t>
      </w:r>
      <w:r>
        <w:rPr>
          <w:szCs w:val="24"/>
        </w:rPr>
        <w:t>in paragraph 3</w:t>
      </w:r>
      <w:r w:rsidR="00A23018">
        <w:rPr>
          <w:szCs w:val="24"/>
        </w:rPr>
        <w:t xml:space="preserve">(b) of Schedule 13A, 2004 Act that a notice of intent to impose a financial penalty under section 249A must “set out … the </w:t>
      </w:r>
      <w:r w:rsidR="00A23018" w:rsidRPr="00A23018">
        <w:rPr>
          <w:szCs w:val="24"/>
        </w:rPr>
        <w:t>reasons for proposing to impose the financial penalty</w:t>
      </w:r>
      <w:r w:rsidR="00A23018">
        <w:rPr>
          <w:szCs w:val="24"/>
        </w:rPr>
        <w:t xml:space="preserve">”.  </w:t>
      </w:r>
    </w:p>
    <w:p w14:paraId="32612925" w14:textId="2E346960" w:rsidR="00297A21" w:rsidRPr="00297A21" w:rsidRDefault="00A23018" w:rsidP="00297A21">
      <w:pPr>
        <w:pStyle w:val="ListParagraph"/>
        <w:numPr>
          <w:ilvl w:val="0"/>
          <w:numId w:val="7"/>
        </w:numPr>
        <w:spacing w:after="360"/>
        <w:ind w:left="567" w:hanging="567"/>
        <w:contextualSpacing w:val="0"/>
        <w:jc w:val="both"/>
        <w:rPr>
          <w:szCs w:val="24"/>
        </w:rPr>
      </w:pPr>
      <w:r>
        <w:rPr>
          <w:szCs w:val="24"/>
        </w:rPr>
        <w:t xml:space="preserve">The first issue concerns the information which must be set out in a notice of intent for it to satisfy the statutory requirement, and whether </w:t>
      </w:r>
      <w:r w:rsidR="00954226">
        <w:rPr>
          <w:szCs w:val="24"/>
        </w:rPr>
        <w:t>i</w:t>
      </w:r>
      <w:r>
        <w:rPr>
          <w:szCs w:val="24"/>
        </w:rPr>
        <w:t>t was satisfied in this case.  It is suggested by the appellant that on the first part of that issue the Tribunal has previously given inconsistent guidance.</w:t>
      </w:r>
    </w:p>
    <w:p w14:paraId="54743EAA" w14:textId="06D140DC" w:rsidR="00297A21" w:rsidRPr="00297A21" w:rsidRDefault="00A23018" w:rsidP="00A23018">
      <w:pPr>
        <w:pStyle w:val="ListParagraph"/>
        <w:numPr>
          <w:ilvl w:val="0"/>
          <w:numId w:val="7"/>
        </w:numPr>
        <w:spacing w:after="360"/>
        <w:ind w:left="567" w:hanging="567"/>
        <w:contextualSpacing w:val="0"/>
        <w:jc w:val="both"/>
        <w:rPr>
          <w:szCs w:val="24"/>
        </w:rPr>
      </w:pPr>
      <w:r>
        <w:rPr>
          <w:szCs w:val="24"/>
        </w:rPr>
        <w:t>The second issue is w</w:t>
      </w:r>
      <w:r w:rsidR="00297A21" w:rsidRPr="00297A21">
        <w:rPr>
          <w:szCs w:val="24"/>
        </w:rPr>
        <w:t>hether the effect of providing an in</w:t>
      </w:r>
      <w:r w:rsidR="005E29AC">
        <w:rPr>
          <w:szCs w:val="24"/>
        </w:rPr>
        <w:t>adequate</w:t>
      </w:r>
      <w:r w:rsidR="00297A21" w:rsidRPr="00297A21">
        <w:rPr>
          <w:szCs w:val="24"/>
        </w:rPr>
        <w:t xml:space="preserve"> statement of reasons in a notice of intent is that the notice and </w:t>
      </w:r>
      <w:r w:rsidR="00954226">
        <w:rPr>
          <w:szCs w:val="24"/>
        </w:rPr>
        <w:t>any</w:t>
      </w:r>
      <w:r w:rsidR="00297A21" w:rsidRPr="00297A21">
        <w:rPr>
          <w:szCs w:val="24"/>
        </w:rPr>
        <w:t xml:space="preserve"> subsequent final penalty notice are void, or whether the </w:t>
      </w:r>
      <w:r>
        <w:rPr>
          <w:szCs w:val="24"/>
        </w:rPr>
        <w:t xml:space="preserve">consequences </w:t>
      </w:r>
      <w:r w:rsidR="00297A21" w:rsidRPr="00297A21">
        <w:rPr>
          <w:szCs w:val="24"/>
        </w:rPr>
        <w:t xml:space="preserve">of </w:t>
      </w:r>
      <w:r>
        <w:rPr>
          <w:szCs w:val="24"/>
        </w:rPr>
        <w:t>serving such a notice</w:t>
      </w:r>
      <w:r w:rsidR="00297A21" w:rsidRPr="00297A21">
        <w:rPr>
          <w:szCs w:val="24"/>
        </w:rPr>
        <w:t xml:space="preserve"> must be determined having regard to the circumstances as a whole, including whether </w:t>
      </w:r>
      <w:r>
        <w:rPr>
          <w:szCs w:val="24"/>
        </w:rPr>
        <w:t xml:space="preserve">an </w:t>
      </w:r>
      <w:r w:rsidR="00297A21" w:rsidRPr="00297A21">
        <w:rPr>
          <w:szCs w:val="24"/>
        </w:rPr>
        <w:t xml:space="preserve">authority’s reasons </w:t>
      </w:r>
      <w:r w:rsidR="005E29AC">
        <w:rPr>
          <w:szCs w:val="24"/>
        </w:rPr>
        <w:t xml:space="preserve">for proposing the financial penalty </w:t>
      </w:r>
      <w:r w:rsidR="00297A21" w:rsidRPr="00297A21">
        <w:rPr>
          <w:szCs w:val="24"/>
        </w:rPr>
        <w:t>are clear enough from other material and whether the appellant has had a proper opportunity to respond to them.</w:t>
      </w:r>
    </w:p>
    <w:p w14:paraId="20008D25" w14:textId="748F830F" w:rsidR="00D12519" w:rsidRDefault="00A45C0D" w:rsidP="00F907E0">
      <w:pPr>
        <w:pStyle w:val="ListParagraph"/>
        <w:numPr>
          <w:ilvl w:val="0"/>
          <w:numId w:val="7"/>
        </w:numPr>
        <w:spacing w:after="360"/>
        <w:ind w:left="567" w:hanging="567"/>
        <w:contextualSpacing w:val="0"/>
        <w:jc w:val="both"/>
        <w:rPr>
          <w:szCs w:val="24"/>
        </w:rPr>
      </w:pPr>
      <w:r>
        <w:rPr>
          <w:szCs w:val="24"/>
        </w:rPr>
        <w:t xml:space="preserve">At the hearing of the appeal the </w:t>
      </w:r>
      <w:r w:rsidR="007F7743">
        <w:rPr>
          <w:szCs w:val="24"/>
        </w:rPr>
        <w:t xml:space="preserve">Council </w:t>
      </w:r>
      <w:r>
        <w:rPr>
          <w:szCs w:val="24"/>
        </w:rPr>
        <w:t xml:space="preserve">was represented by </w:t>
      </w:r>
      <w:r w:rsidR="00F907E0">
        <w:rPr>
          <w:szCs w:val="24"/>
        </w:rPr>
        <w:t xml:space="preserve">Ms </w:t>
      </w:r>
      <w:r>
        <w:rPr>
          <w:szCs w:val="24"/>
        </w:rPr>
        <w:t>Tara O’Leary</w:t>
      </w:r>
      <w:r w:rsidR="00A23018">
        <w:rPr>
          <w:szCs w:val="24"/>
        </w:rPr>
        <w:t>, to whom I am grat</w:t>
      </w:r>
      <w:r w:rsidR="005E29AC">
        <w:rPr>
          <w:szCs w:val="24"/>
        </w:rPr>
        <w:t>e</w:t>
      </w:r>
      <w:r w:rsidR="00A23018">
        <w:rPr>
          <w:szCs w:val="24"/>
        </w:rPr>
        <w:t>ful</w:t>
      </w:r>
      <w:r w:rsidR="00EF681A">
        <w:rPr>
          <w:szCs w:val="24"/>
        </w:rPr>
        <w:t>.  T</w:t>
      </w:r>
      <w:r>
        <w:rPr>
          <w:szCs w:val="24"/>
        </w:rPr>
        <w:t xml:space="preserve">he respondent </w:t>
      </w:r>
      <w:r w:rsidR="00EF681A">
        <w:rPr>
          <w:szCs w:val="24"/>
        </w:rPr>
        <w:t xml:space="preserve">had been represented by solicitors before the FTT but </w:t>
      </w:r>
      <w:r>
        <w:rPr>
          <w:szCs w:val="24"/>
        </w:rPr>
        <w:t>represented herself</w:t>
      </w:r>
      <w:r w:rsidR="00EF681A">
        <w:rPr>
          <w:szCs w:val="24"/>
        </w:rPr>
        <w:t xml:space="preserve"> in the appeal proceedings.  She notified the Tribunal on the morning of the hearing that she would not be attending.</w:t>
      </w:r>
    </w:p>
    <w:p w14:paraId="21C39E59" w14:textId="4FBABE3F" w:rsidR="00BE33C8" w:rsidRPr="00BE33C8" w:rsidRDefault="00BE33C8" w:rsidP="00F907E0">
      <w:pPr>
        <w:spacing w:after="360"/>
        <w:jc w:val="both"/>
        <w:rPr>
          <w:b/>
          <w:bCs/>
          <w:szCs w:val="24"/>
        </w:rPr>
      </w:pPr>
      <w:r w:rsidRPr="00BE33C8">
        <w:rPr>
          <w:b/>
          <w:bCs/>
          <w:szCs w:val="24"/>
        </w:rPr>
        <w:t>The relevant statutory provisions</w:t>
      </w:r>
    </w:p>
    <w:p w14:paraId="1189F7C6" w14:textId="7B17307E" w:rsidR="00F35E5F" w:rsidRDefault="00F35E5F" w:rsidP="00F907E0">
      <w:pPr>
        <w:pStyle w:val="ListParagraph"/>
        <w:numPr>
          <w:ilvl w:val="0"/>
          <w:numId w:val="7"/>
        </w:numPr>
        <w:spacing w:after="360"/>
        <w:ind w:left="567" w:hanging="567"/>
        <w:contextualSpacing w:val="0"/>
        <w:jc w:val="both"/>
        <w:rPr>
          <w:szCs w:val="24"/>
        </w:rPr>
      </w:pPr>
      <w:r>
        <w:rPr>
          <w:szCs w:val="24"/>
        </w:rPr>
        <w:t xml:space="preserve">Section 234, 2004 Act authorises the Secretary of State to make regulations for the purpose of ensuring </w:t>
      </w:r>
      <w:r w:rsidR="005128C4">
        <w:rPr>
          <w:szCs w:val="24"/>
        </w:rPr>
        <w:t xml:space="preserve">that every house in multiple occupation </w:t>
      </w:r>
      <w:r w:rsidR="00EF681A">
        <w:rPr>
          <w:szCs w:val="24"/>
        </w:rPr>
        <w:t xml:space="preserve">(HMO) </w:t>
      </w:r>
      <w:r w:rsidR="005128C4">
        <w:rPr>
          <w:szCs w:val="24"/>
        </w:rPr>
        <w:t xml:space="preserve">is satisfactorily managed.  </w:t>
      </w:r>
      <w:r w:rsidR="00EB7208">
        <w:rPr>
          <w:szCs w:val="24"/>
        </w:rPr>
        <w:t>Such r</w:t>
      </w:r>
      <w:r w:rsidR="005128C4">
        <w:rPr>
          <w:szCs w:val="24"/>
        </w:rPr>
        <w:t>egulations may, in particular, impose duties on the person managing an HMO</w:t>
      </w:r>
      <w:r w:rsidR="00C80A0B">
        <w:rPr>
          <w:szCs w:val="24"/>
        </w:rPr>
        <w:t xml:space="preserve"> in respect of </w:t>
      </w:r>
      <w:r w:rsidR="00F907E0">
        <w:rPr>
          <w:szCs w:val="24"/>
        </w:rPr>
        <w:t xml:space="preserve">the </w:t>
      </w:r>
      <w:r w:rsidR="00C80A0B">
        <w:rPr>
          <w:szCs w:val="24"/>
        </w:rPr>
        <w:t>repair, maintenance, cleanliness and good order of the house and facilities and equipment in it (</w:t>
      </w:r>
      <w:r w:rsidR="00F907E0">
        <w:rPr>
          <w:szCs w:val="24"/>
        </w:rPr>
        <w:t xml:space="preserve">section </w:t>
      </w:r>
      <w:r w:rsidR="00C80A0B">
        <w:rPr>
          <w:szCs w:val="24"/>
        </w:rPr>
        <w:t xml:space="preserve">234(2)(a)).  By </w:t>
      </w:r>
      <w:r w:rsidR="00EF681A">
        <w:rPr>
          <w:szCs w:val="24"/>
        </w:rPr>
        <w:t>section</w:t>
      </w:r>
      <w:r w:rsidR="00F907E0">
        <w:rPr>
          <w:szCs w:val="24"/>
        </w:rPr>
        <w:t xml:space="preserve"> </w:t>
      </w:r>
      <w:r w:rsidR="00C80A0B">
        <w:rPr>
          <w:szCs w:val="24"/>
        </w:rPr>
        <w:t>234(3) a person commits an offence if they fail to comply with regulation</w:t>
      </w:r>
      <w:r w:rsidR="00E83EA9">
        <w:rPr>
          <w:szCs w:val="24"/>
        </w:rPr>
        <w:t>s</w:t>
      </w:r>
      <w:r w:rsidR="00C80A0B">
        <w:rPr>
          <w:szCs w:val="24"/>
        </w:rPr>
        <w:t xml:space="preserve"> made under the section</w:t>
      </w:r>
      <w:r w:rsidR="00EB7208">
        <w:rPr>
          <w:szCs w:val="24"/>
        </w:rPr>
        <w:t>,</w:t>
      </w:r>
      <w:r w:rsidR="00A274E2">
        <w:rPr>
          <w:szCs w:val="24"/>
        </w:rPr>
        <w:t xml:space="preserve"> but that</w:t>
      </w:r>
      <w:r w:rsidR="00C80A0B">
        <w:rPr>
          <w:szCs w:val="24"/>
        </w:rPr>
        <w:t xml:space="preserve"> offence </w:t>
      </w:r>
      <w:r w:rsidR="00F907E0">
        <w:rPr>
          <w:szCs w:val="24"/>
        </w:rPr>
        <w:t>is subject to</w:t>
      </w:r>
      <w:r w:rsidR="00C80A0B">
        <w:rPr>
          <w:szCs w:val="24"/>
        </w:rPr>
        <w:t xml:space="preserve"> a reasonable excuse </w:t>
      </w:r>
      <w:r w:rsidR="00F907E0">
        <w:rPr>
          <w:szCs w:val="24"/>
        </w:rPr>
        <w:t>defence</w:t>
      </w:r>
      <w:r w:rsidR="00C76BAA">
        <w:rPr>
          <w:szCs w:val="24"/>
        </w:rPr>
        <w:t xml:space="preserve"> (</w:t>
      </w:r>
      <w:r w:rsidR="00EF681A">
        <w:rPr>
          <w:szCs w:val="24"/>
        </w:rPr>
        <w:t>section</w:t>
      </w:r>
      <w:r w:rsidR="00F907E0">
        <w:rPr>
          <w:szCs w:val="24"/>
        </w:rPr>
        <w:t xml:space="preserve"> </w:t>
      </w:r>
      <w:r w:rsidR="00C76BAA">
        <w:rPr>
          <w:szCs w:val="24"/>
        </w:rPr>
        <w:t>234(4)).</w:t>
      </w:r>
    </w:p>
    <w:p w14:paraId="648D5F01" w14:textId="49E125E9" w:rsidR="00C76BAA" w:rsidRDefault="00C76BAA" w:rsidP="00F907E0">
      <w:pPr>
        <w:pStyle w:val="ListParagraph"/>
        <w:numPr>
          <w:ilvl w:val="0"/>
          <w:numId w:val="7"/>
        </w:numPr>
        <w:spacing w:after="360"/>
        <w:ind w:left="567" w:hanging="567"/>
        <w:contextualSpacing w:val="0"/>
        <w:jc w:val="both"/>
        <w:rPr>
          <w:szCs w:val="24"/>
        </w:rPr>
      </w:pPr>
      <w:r>
        <w:rPr>
          <w:szCs w:val="24"/>
        </w:rPr>
        <w:lastRenderedPageBreak/>
        <w:t xml:space="preserve">Regulations made under </w:t>
      </w:r>
      <w:r w:rsidR="00EF681A">
        <w:rPr>
          <w:szCs w:val="24"/>
        </w:rPr>
        <w:t xml:space="preserve">section </w:t>
      </w:r>
      <w:r>
        <w:rPr>
          <w:szCs w:val="24"/>
        </w:rPr>
        <w:t>234</w:t>
      </w:r>
      <w:r w:rsidR="00CB12E5">
        <w:rPr>
          <w:szCs w:val="24"/>
        </w:rPr>
        <w:t xml:space="preserve"> include the </w:t>
      </w:r>
      <w:r w:rsidR="00F907E0">
        <w:rPr>
          <w:szCs w:val="24"/>
        </w:rPr>
        <w:t>M</w:t>
      </w:r>
      <w:r w:rsidR="00CB12E5">
        <w:rPr>
          <w:szCs w:val="24"/>
        </w:rPr>
        <w:t xml:space="preserve">anagement of </w:t>
      </w:r>
      <w:r w:rsidR="00F907E0">
        <w:rPr>
          <w:szCs w:val="24"/>
        </w:rPr>
        <w:t>H</w:t>
      </w:r>
      <w:r w:rsidR="00CB12E5">
        <w:rPr>
          <w:szCs w:val="24"/>
        </w:rPr>
        <w:t xml:space="preserve">ouses in </w:t>
      </w:r>
      <w:r w:rsidR="00F907E0">
        <w:rPr>
          <w:szCs w:val="24"/>
        </w:rPr>
        <w:t>M</w:t>
      </w:r>
      <w:r w:rsidR="00CB12E5">
        <w:rPr>
          <w:szCs w:val="24"/>
        </w:rPr>
        <w:t xml:space="preserve">ultiple </w:t>
      </w:r>
      <w:r w:rsidR="00F907E0">
        <w:rPr>
          <w:szCs w:val="24"/>
        </w:rPr>
        <w:t>O</w:t>
      </w:r>
      <w:r w:rsidR="00CB12E5">
        <w:rPr>
          <w:szCs w:val="24"/>
        </w:rPr>
        <w:t>ccupation (England) Regulations 2006</w:t>
      </w:r>
      <w:r w:rsidR="00F907E0">
        <w:rPr>
          <w:szCs w:val="24"/>
        </w:rPr>
        <w:t xml:space="preserve"> (the 2006 Regulations)</w:t>
      </w:r>
      <w:r w:rsidR="00CB12E5">
        <w:rPr>
          <w:szCs w:val="24"/>
        </w:rPr>
        <w:t>.</w:t>
      </w:r>
      <w:r w:rsidR="00F907E0">
        <w:rPr>
          <w:szCs w:val="24"/>
        </w:rPr>
        <w:t xml:space="preserve">  </w:t>
      </w:r>
      <w:r w:rsidR="009B02B8">
        <w:rPr>
          <w:szCs w:val="24"/>
        </w:rPr>
        <w:t>R</w:t>
      </w:r>
      <w:r w:rsidR="00CB12E5">
        <w:rPr>
          <w:szCs w:val="24"/>
        </w:rPr>
        <w:t>egulations 4 and 7 of the 2006 Regulation</w:t>
      </w:r>
      <w:r w:rsidR="00EF681A">
        <w:rPr>
          <w:szCs w:val="24"/>
        </w:rPr>
        <w:t>s</w:t>
      </w:r>
      <w:r w:rsidR="009B02B8">
        <w:rPr>
          <w:szCs w:val="24"/>
        </w:rPr>
        <w:t xml:space="preserve"> are relevant to this appeal</w:t>
      </w:r>
      <w:r w:rsidR="00EF681A">
        <w:rPr>
          <w:szCs w:val="24"/>
        </w:rPr>
        <w:t>.</w:t>
      </w:r>
    </w:p>
    <w:p w14:paraId="08F04494" w14:textId="247A33F8" w:rsidR="00CB12E5" w:rsidRDefault="00CB12E5" w:rsidP="00F907E0">
      <w:pPr>
        <w:pStyle w:val="ListParagraph"/>
        <w:numPr>
          <w:ilvl w:val="0"/>
          <w:numId w:val="7"/>
        </w:numPr>
        <w:spacing w:after="360"/>
        <w:ind w:left="567" w:hanging="567"/>
        <w:contextualSpacing w:val="0"/>
        <w:jc w:val="both"/>
        <w:rPr>
          <w:szCs w:val="24"/>
        </w:rPr>
      </w:pPr>
      <w:r>
        <w:rPr>
          <w:szCs w:val="24"/>
        </w:rPr>
        <w:t>Regulation 4 requires the manager of an HMO to ensure that all means of escape from fire are kept free from obstruction and maintained in good order and repair</w:t>
      </w:r>
      <w:r w:rsidR="009B02B8">
        <w:rPr>
          <w:szCs w:val="24"/>
        </w:rPr>
        <w:t xml:space="preserve">, and that </w:t>
      </w:r>
      <w:r>
        <w:rPr>
          <w:szCs w:val="24"/>
        </w:rPr>
        <w:t xml:space="preserve">all </w:t>
      </w:r>
      <w:r w:rsidR="009B02B8">
        <w:rPr>
          <w:szCs w:val="24"/>
        </w:rPr>
        <w:t>fire fighting</w:t>
      </w:r>
      <w:r>
        <w:rPr>
          <w:szCs w:val="24"/>
        </w:rPr>
        <w:t xml:space="preserve"> equipment and fire alarms are maintained in good working order. </w:t>
      </w:r>
    </w:p>
    <w:p w14:paraId="358A3CE2" w14:textId="77777777" w:rsidR="009B02B8" w:rsidRDefault="00CB12E5" w:rsidP="009B02B8">
      <w:pPr>
        <w:pStyle w:val="ListParagraph"/>
        <w:numPr>
          <w:ilvl w:val="0"/>
          <w:numId w:val="7"/>
        </w:numPr>
        <w:spacing w:after="360"/>
        <w:ind w:left="567" w:hanging="567"/>
        <w:contextualSpacing w:val="0"/>
        <w:jc w:val="both"/>
        <w:rPr>
          <w:szCs w:val="24"/>
        </w:rPr>
      </w:pPr>
      <w:r>
        <w:rPr>
          <w:szCs w:val="24"/>
        </w:rPr>
        <w:t xml:space="preserve">Regulation 7 imposes duties on </w:t>
      </w:r>
      <w:r w:rsidR="009B02B8">
        <w:rPr>
          <w:szCs w:val="24"/>
        </w:rPr>
        <w:t xml:space="preserve">the </w:t>
      </w:r>
      <w:r>
        <w:rPr>
          <w:szCs w:val="24"/>
        </w:rPr>
        <w:t>manager of</w:t>
      </w:r>
      <w:r w:rsidR="009B02B8">
        <w:rPr>
          <w:szCs w:val="24"/>
        </w:rPr>
        <w:t xml:space="preserve"> an</w:t>
      </w:r>
      <w:r>
        <w:rPr>
          <w:szCs w:val="24"/>
        </w:rPr>
        <w:t xml:space="preserve"> HMO to ensure that all co</w:t>
      </w:r>
      <w:r w:rsidR="00A10938">
        <w:rPr>
          <w:szCs w:val="24"/>
        </w:rPr>
        <w:t xml:space="preserve">mmon parts are maintained in good and clean decorative repair </w:t>
      </w:r>
      <w:r w:rsidR="009B02B8">
        <w:rPr>
          <w:szCs w:val="24"/>
        </w:rPr>
        <w:t xml:space="preserve">and in a </w:t>
      </w:r>
      <w:r w:rsidR="00A10938">
        <w:rPr>
          <w:szCs w:val="24"/>
        </w:rPr>
        <w:t xml:space="preserve">safe and working condition and </w:t>
      </w:r>
      <w:r w:rsidR="009B02B8">
        <w:rPr>
          <w:szCs w:val="24"/>
        </w:rPr>
        <w:t xml:space="preserve">that they are </w:t>
      </w:r>
      <w:r w:rsidR="00A10938">
        <w:rPr>
          <w:szCs w:val="24"/>
        </w:rPr>
        <w:t>kept reasonably free from o</w:t>
      </w:r>
      <w:r w:rsidR="009B02B8">
        <w:rPr>
          <w:szCs w:val="24"/>
        </w:rPr>
        <w:t>b</w:t>
      </w:r>
      <w:r w:rsidR="00A10938">
        <w:rPr>
          <w:szCs w:val="24"/>
        </w:rPr>
        <w:t>struction.  In performing that duty the manager must</w:t>
      </w:r>
      <w:r w:rsidR="009B02B8">
        <w:rPr>
          <w:szCs w:val="24"/>
        </w:rPr>
        <w:t>, in particular,</w:t>
      </w:r>
      <w:r w:rsidR="00A10938">
        <w:rPr>
          <w:szCs w:val="24"/>
        </w:rPr>
        <w:t xml:space="preserve"> ensure that </w:t>
      </w:r>
      <w:r w:rsidR="009B02B8" w:rsidRPr="009B02B8">
        <w:rPr>
          <w:szCs w:val="24"/>
        </w:rPr>
        <w:t xml:space="preserve">handrails and banisters </w:t>
      </w:r>
      <w:r w:rsidR="009B02B8">
        <w:rPr>
          <w:szCs w:val="24"/>
        </w:rPr>
        <w:t>ar</w:t>
      </w:r>
      <w:r w:rsidR="009B02B8" w:rsidRPr="009B02B8">
        <w:rPr>
          <w:szCs w:val="24"/>
        </w:rPr>
        <w:t>e kept in good repair</w:t>
      </w:r>
      <w:r w:rsidR="009B02B8">
        <w:rPr>
          <w:szCs w:val="24"/>
        </w:rPr>
        <w:t xml:space="preserve"> (regu</w:t>
      </w:r>
      <w:r w:rsidR="00A10938">
        <w:rPr>
          <w:szCs w:val="24"/>
        </w:rPr>
        <w:t>lation 7(2)</w:t>
      </w:r>
      <w:r w:rsidR="009B02B8">
        <w:rPr>
          <w:szCs w:val="24"/>
        </w:rPr>
        <w:t>(a)).</w:t>
      </w:r>
      <w:r w:rsidR="00A10938">
        <w:rPr>
          <w:szCs w:val="24"/>
        </w:rPr>
        <w:t xml:space="preserve"> </w:t>
      </w:r>
    </w:p>
    <w:p w14:paraId="12ECFB05" w14:textId="4E656CD1" w:rsidR="009B02B8" w:rsidRPr="009B02B8" w:rsidRDefault="009B02B8" w:rsidP="00F87309">
      <w:pPr>
        <w:pStyle w:val="ListParagraph"/>
        <w:numPr>
          <w:ilvl w:val="0"/>
          <w:numId w:val="7"/>
        </w:numPr>
        <w:spacing w:after="360"/>
        <w:ind w:left="567" w:hanging="567"/>
        <w:contextualSpacing w:val="0"/>
        <w:jc w:val="both"/>
        <w:rPr>
          <w:szCs w:val="24"/>
        </w:rPr>
      </w:pPr>
      <w:r w:rsidRPr="009B02B8">
        <w:rPr>
          <w:szCs w:val="24"/>
        </w:rPr>
        <w:t>Section 249A, 2004 Act authorises a local housing authority in England to impose financial penalties on a person if it is satisfied beyond reasonable doubt that the person’s conduct amounts to a “relevant housing offence”.  Relevant housing offences are those listed in section 249</w:t>
      </w:r>
      <w:proofErr w:type="gramStart"/>
      <w:r w:rsidRPr="009B02B8">
        <w:rPr>
          <w:szCs w:val="24"/>
        </w:rPr>
        <w:t>A(</w:t>
      </w:r>
      <w:proofErr w:type="gramEnd"/>
      <w:r w:rsidRPr="009B02B8">
        <w:rPr>
          <w:szCs w:val="24"/>
        </w:rPr>
        <w:t>2).</w:t>
      </w:r>
      <w:r w:rsidRPr="009B02B8">
        <w:t xml:space="preserve"> </w:t>
      </w:r>
      <w:r>
        <w:t xml:space="preserve"> </w:t>
      </w:r>
      <w:r w:rsidRPr="009B02B8">
        <w:rPr>
          <w:szCs w:val="24"/>
        </w:rPr>
        <w:t xml:space="preserve">The offence of failing to comply with regulations made under section 234 is </w:t>
      </w:r>
      <w:r>
        <w:rPr>
          <w:szCs w:val="24"/>
        </w:rPr>
        <w:t>one such</w:t>
      </w:r>
      <w:r w:rsidRPr="009B02B8">
        <w:rPr>
          <w:szCs w:val="24"/>
        </w:rPr>
        <w:t xml:space="preserve"> offence. </w:t>
      </w:r>
    </w:p>
    <w:p w14:paraId="765D8BBE" w14:textId="39AFE2E6" w:rsidR="00F57418" w:rsidRPr="005E29AC" w:rsidRDefault="009B02B8" w:rsidP="005E29AC">
      <w:pPr>
        <w:pStyle w:val="ListParagraph"/>
        <w:numPr>
          <w:ilvl w:val="0"/>
          <w:numId w:val="7"/>
        </w:numPr>
        <w:spacing w:after="360"/>
        <w:ind w:left="567" w:hanging="567"/>
        <w:contextualSpacing w:val="0"/>
        <w:jc w:val="both"/>
        <w:rPr>
          <w:szCs w:val="24"/>
        </w:rPr>
      </w:pPr>
      <w:r>
        <w:rPr>
          <w:szCs w:val="24"/>
        </w:rPr>
        <w:t>S</w:t>
      </w:r>
      <w:r w:rsidR="00F57418">
        <w:rPr>
          <w:szCs w:val="24"/>
        </w:rPr>
        <w:t>chedule 13A, 2004 Act, deal</w:t>
      </w:r>
      <w:r w:rsidR="00F87309">
        <w:rPr>
          <w:szCs w:val="24"/>
        </w:rPr>
        <w:t>s</w:t>
      </w:r>
      <w:r w:rsidR="00F57418">
        <w:rPr>
          <w:szCs w:val="24"/>
        </w:rPr>
        <w:t xml:space="preserve"> with the procedure for imposing financial penalties</w:t>
      </w:r>
      <w:r w:rsidR="00F87309">
        <w:rPr>
          <w:szCs w:val="24"/>
        </w:rPr>
        <w:t>,</w:t>
      </w:r>
      <w:r w:rsidR="00A274E2">
        <w:rPr>
          <w:szCs w:val="24"/>
        </w:rPr>
        <w:t xml:space="preserve"> and with </w:t>
      </w:r>
      <w:r w:rsidR="00F57418">
        <w:rPr>
          <w:szCs w:val="24"/>
        </w:rPr>
        <w:t>appeals.</w:t>
      </w:r>
      <w:r w:rsidR="005E29AC">
        <w:rPr>
          <w:szCs w:val="24"/>
        </w:rPr>
        <w:t xml:space="preserve">  </w:t>
      </w:r>
      <w:r w:rsidR="00F57418" w:rsidRPr="005E29AC">
        <w:rPr>
          <w:szCs w:val="24"/>
        </w:rPr>
        <w:t xml:space="preserve">By </w:t>
      </w:r>
      <w:r w:rsidR="00F87309" w:rsidRPr="005E29AC">
        <w:rPr>
          <w:szCs w:val="24"/>
        </w:rPr>
        <w:t xml:space="preserve">paragraph </w:t>
      </w:r>
      <w:r w:rsidR="00F57418" w:rsidRPr="005E29AC">
        <w:rPr>
          <w:szCs w:val="24"/>
        </w:rPr>
        <w:t>1, before imposing a financial penalty a</w:t>
      </w:r>
      <w:r w:rsidR="00DE703A">
        <w:rPr>
          <w:szCs w:val="24"/>
        </w:rPr>
        <w:t>n</w:t>
      </w:r>
      <w:r w:rsidR="00F57418" w:rsidRPr="005E29AC">
        <w:rPr>
          <w:szCs w:val="24"/>
        </w:rPr>
        <w:t xml:space="preserve"> authority must first give the person on whom the penalty is intended to be imposed notice of its proposal to do so. Such a notice is referred to as a “notice of intent”.  By </w:t>
      </w:r>
      <w:r w:rsidR="00F87309" w:rsidRPr="005E29AC">
        <w:rPr>
          <w:szCs w:val="24"/>
        </w:rPr>
        <w:t xml:space="preserve">paragraph </w:t>
      </w:r>
      <w:r w:rsidR="00F57418" w:rsidRPr="005E29AC">
        <w:rPr>
          <w:szCs w:val="24"/>
        </w:rPr>
        <w:t xml:space="preserve">2, a notice of intent must be given </w:t>
      </w:r>
      <w:r w:rsidR="00DE703A">
        <w:rPr>
          <w:szCs w:val="24"/>
        </w:rPr>
        <w:t>within six</w:t>
      </w:r>
      <w:r w:rsidR="00F57418" w:rsidRPr="005E29AC">
        <w:rPr>
          <w:szCs w:val="24"/>
        </w:rPr>
        <w:t xml:space="preserve"> months </w:t>
      </w:r>
      <w:r w:rsidR="00DE703A">
        <w:rPr>
          <w:szCs w:val="24"/>
        </w:rPr>
        <w:t xml:space="preserve">of </w:t>
      </w:r>
      <w:r w:rsidR="00F57418" w:rsidRPr="005E29AC">
        <w:rPr>
          <w:szCs w:val="24"/>
        </w:rPr>
        <w:t>the authority ha</w:t>
      </w:r>
      <w:r w:rsidR="00DE703A">
        <w:rPr>
          <w:szCs w:val="24"/>
        </w:rPr>
        <w:t>ving</w:t>
      </w:r>
      <w:r w:rsidR="00F57418" w:rsidRPr="005E29AC">
        <w:rPr>
          <w:szCs w:val="24"/>
        </w:rPr>
        <w:t xml:space="preserve"> sufficient evidence of the conduct to which the intended financial penalty relate</w:t>
      </w:r>
      <w:r w:rsidR="00EF681A" w:rsidRPr="005E29AC">
        <w:rPr>
          <w:szCs w:val="24"/>
        </w:rPr>
        <w:t>s</w:t>
      </w:r>
      <w:r w:rsidR="00F87309" w:rsidRPr="005E29AC">
        <w:rPr>
          <w:szCs w:val="24"/>
        </w:rPr>
        <w:t>.</w:t>
      </w:r>
    </w:p>
    <w:p w14:paraId="249D4B68" w14:textId="2557F4FF" w:rsidR="00F57418" w:rsidRDefault="00F57418" w:rsidP="00F87309">
      <w:pPr>
        <w:pStyle w:val="ListParagraph"/>
        <w:numPr>
          <w:ilvl w:val="0"/>
          <w:numId w:val="7"/>
        </w:numPr>
        <w:spacing w:after="360"/>
        <w:ind w:left="567" w:hanging="567"/>
        <w:contextualSpacing w:val="0"/>
        <w:jc w:val="both"/>
        <w:rPr>
          <w:szCs w:val="24"/>
        </w:rPr>
      </w:pPr>
      <w:r>
        <w:rPr>
          <w:szCs w:val="24"/>
        </w:rPr>
        <w:t xml:space="preserve">The content of a notice of intent is </w:t>
      </w:r>
      <w:r w:rsidR="00F87309">
        <w:rPr>
          <w:szCs w:val="24"/>
        </w:rPr>
        <w:t xml:space="preserve">prescribed by paragraph </w:t>
      </w:r>
      <w:r>
        <w:rPr>
          <w:szCs w:val="24"/>
        </w:rPr>
        <w:t xml:space="preserve">3 of </w:t>
      </w:r>
      <w:r w:rsidR="00F87309">
        <w:rPr>
          <w:szCs w:val="24"/>
        </w:rPr>
        <w:t xml:space="preserve">Schedule </w:t>
      </w:r>
      <w:r>
        <w:rPr>
          <w:szCs w:val="24"/>
        </w:rPr>
        <w:t>13A, as follows:</w:t>
      </w:r>
    </w:p>
    <w:p w14:paraId="723BBAF4" w14:textId="174242D9" w:rsidR="00F57418" w:rsidRDefault="00F57418" w:rsidP="002F16F5">
      <w:pPr>
        <w:pStyle w:val="ListParagraph"/>
        <w:spacing w:after="240"/>
        <w:ind w:left="1134"/>
        <w:contextualSpacing w:val="0"/>
        <w:jc w:val="both"/>
        <w:rPr>
          <w:szCs w:val="24"/>
        </w:rPr>
      </w:pPr>
      <w:r>
        <w:rPr>
          <w:szCs w:val="24"/>
        </w:rPr>
        <w:t>“3. The notice of intent must set out –</w:t>
      </w:r>
    </w:p>
    <w:p w14:paraId="7E76858F" w14:textId="795DD2A1" w:rsidR="00F57418" w:rsidRDefault="00F57418" w:rsidP="00F57418">
      <w:pPr>
        <w:pStyle w:val="ListParagraph"/>
        <w:numPr>
          <w:ilvl w:val="0"/>
          <w:numId w:val="8"/>
        </w:numPr>
        <w:spacing w:after="240"/>
        <w:contextualSpacing w:val="0"/>
        <w:jc w:val="both"/>
        <w:rPr>
          <w:szCs w:val="24"/>
        </w:rPr>
      </w:pPr>
      <w:r>
        <w:rPr>
          <w:szCs w:val="24"/>
        </w:rPr>
        <w:t>the amount of the proposed financial penalty,</w:t>
      </w:r>
    </w:p>
    <w:p w14:paraId="1F667495" w14:textId="6A21744D" w:rsidR="00F57418" w:rsidRDefault="00F57418" w:rsidP="00F57418">
      <w:pPr>
        <w:pStyle w:val="ListParagraph"/>
        <w:numPr>
          <w:ilvl w:val="0"/>
          <w:numId w:val="8"/>
        </w:numPr>
        <w:spacing w:after="240"/>
        <w:contextualSpacing w:val="0"/>
        <w:jc w:val="both"/>
        <w:rPr>
          <w:szCs w:val="24"/>
        </w:rPr>
      </w:pPr>
      <w:r>
        <w:rPr>
          <w:szCs w:val="24"/>
        </w:rPr>
        <w:t>the reasons for proposing to impose the financial penalty, and</w:t>
      </w:r>
    </w:p>
    <w:p w14:paraId="26AD63B5" w14:textId="69172FB4" w:rsidR="00F57418" w:rsidRPr="00F57418" w:rsidRDefault="00F57418" w:rsidP="00F87309">
      <w:pPr>
        <w:pStyle w:val="ListParagraph"/>
        <w:numPr>
          <w:ilvl w:val="0"/>
          <w:numId w:val="8"/>
        </w:numPr>
        <w:spacing w:after="360"/>
        <w:ind w:left="1792" w:hanging="357"/>
        <w:contextualSpacing w:val="0"/>
        <w:jc w:val="both"/>
        <w:rPr>
          <w:szCs w:val="24"/>
        </w:rPr>
      </w:pPr>
      <w:r>
        <w:rPr>
          <w:szCs w:val="24"/>
        </w:rPr>
        <w:t xml:space="preserve">information about the right to make representations under </w:t>
      </w:r>
      <w:r w:rsidR="00F87309">
        <w:rPr>
          <w:szCs w:val="24"/>
        </w:rPr>
        <w:t xml:space="preserve">paragraph </w:t>
      </w:r>
      <w:r>
        <w:rPr>
          <w:szCs w:val="24"/>
        </w:rPr>
        <w:t>4.</w:t>
      </w:r>
      <w:r w:rsidR="002F16F5">
        <w:rPr>
          <w:szCs w:val="24"/>
        </w:rPr>
        <w:t>”</w:t>
      </w:r>
    </w:p>
    <w:p w14:paraId="7EE59DD9" w14:textId="2BA067F3" w:rsidR="00F57418" w:rsidRDefault="00F57418" w:rsidP="00F87309">
      <w:pPr>
        <w:pStyle w:val="ListParagraph"/>
        <w:numPr>
          <w:ilvl w:val="0"/>
          <w:numId w:val="7"/>
        </w:numPr>
        <w:tabs>
          <w:tab w:val="left" w:pos="0"/>
        </w:tabs>
        <w:spacing w:after="360"/>
        <w:ind w:left="567" w:hanging="567"/>
        <w:contextualSpacing w:val="0"/>
        <w:jc w:val="both"/>
        <w:rPr>
          <w:szCs w:val="24"/>
        </w:rPr>
      </w:pPr>
      <w:r w:rsidRPr="00F57418">
        <w:rPr>
          <w:szCs w:val="24"/>
        </w:rPr>
        <w:t xml:space="preserve">By </w:t>
      </w:r>
      <w:r w:rsidR="00F87309">
        <w:rPr>
          <w:szCs w:val="24"/>
        </w:rPr>
        <w:t xml:space="preserve">paragraph </w:t>
      </w:r>
      <w:r w:rsidRPr="00F57418">
        <w:rPr>
          <w:szCs w:val="24"/>
        </w:rPr>
        <w:t xml:space="preserve">4, a person who is given a notice of intent may make written representations to the </w:t>
      </w:r>
      <w:r>
        <w:rPr>
          <w:szCs w:val="24"/>
        </w:rPr>
        <w:t>authority about the proposal to impose a penalty within 28 days of the date on which the notice of intent was given.  After the end of the period for representations the authority must decide whether to impose a financial penalty and, if so, the amount of the penalty.</w:t>
      </w:r>
    </w:p>
    <w:p w14:paraId="6D5B0F96" w14:textId="09D1E02A" w:rsidR="000A2718" w:rsidRPr="00F87309" w:rsidRDefault="00F57418" w:rsidP="00DD5A3B">
      <w:pPr>
        <w:pStyle w:val="ListParagraph"/>
        <w:numPr>
          <w:ilvl w:val="0"/>
          <w:numId w:val="7"/>
        </w:numPr>
        <w:tabs>
          <w:tab w:val="left" w:pos="0"/>
        </w:tabs>
        <w:spacing w:after="360"/>
        <w:ind w:left="567" w:hanging="567"/>
        <w:contextualSpacing w:val="0"/>
        <w:jc w:val="both"/>
        <w:rPr>
          <w:szCs w:val="24"/>
        </w:rPr>
      </w:pPr>
      <w:r w:rsidRPr="00F87309">
        <w:rPr>
          <w:szCs w:val="24"/>
        </w:rPr>
        <w:t xml:space="preserve">If the authority decides to impose a financial penalty </w:t>
      </w:r>
      <w:r w:rsidR="00F87309" w:rsidRPr="00F87309">
        <w:rPr>
          <w:szCs w:val="24"/>
        </w:rPr>
        <w:t xml:space="preserve">it must give </w:t>
      </w:r>
      <w:r w:rsidRPr="00F87309">
        <w:rPr>
          <w:szCs w:val="24"/>
        </w:rPr>
        <w:t>the person on whom it served the notice of intent</w:t>
      </w:r>
      <w:r w:rsidR="000A2718" w:rsidRPr="00F87309">
        <w:rPr>
          <w:szCs w:val="24"/>
        </w:rPr>
        <w:t xml:space="preserve"> a</w:t>
      </w:r>
      <w:r w:rsidR="00F87309" w:rsidRPr="00F87309">
        <w:rPr>
          <w:szCs w:val="24"/>
        </w:rPr>
        <w:t xml:space="preserve"> further </w:t>
      </w:r>
      <w:r w:rsidR="000A2718" w:rsidRPr="00F87309">
        <w:rPr>
          <w:szCs w:val="24"/>
        </w:rPr>
        <w:t>notice</w:t>
      </w:r>
      <w:r w:rsidR="00F87309" w:rsidRPr="00F87309">
        <w:rPr>
          <w:szCs w:val="24"/>
        </w:rPr>
        <w:t xml:space="preserve"> imposing the penalty</w:t>
      </w:r>
      <w:r w:rsidR="000A2718" w:rsidRPr="00F87309">
        <w:rPr>
          <w:szCs w:val="24"/>
        </w:rPr>
        <w:t xml:space="preserve">, referred to in </w:t>
      </w:r>
      <w:r w:rsidR="00F87309" w:rsidRPr="00F87309">
        <w:rPr>
          <w:szCs w:val="24"/>
        </w:rPr>
        <w:t xml:space="preserve">paragraph </w:t>
      </w:r>
      <w:r w:rsidR="000A2718" w:rsidRPr="00F87309">
        <w:rPr>
          <w:szCs w:val="24"/>
        </w:rPr>
        <w:t>6</w:t>
      </w:r>
      <w:r w:rsidR="00F87309" w:rsidRPr="00F87309">
        <w:rPr>
          <w:szCs w:val="24"/>
        </w:rPr>
        <w:t xml:space="preserve"> </w:t>
      </w:r>
      <w:r w:rsidR="000A2718" w:rsidRPr="00F87309">
        <w:rPr>
          <w:szCs w:val="24"/>
        </w:rPr>
        <w:t>as a “final notice”.</w:t>
      </w:r>
      <w:r w:rsidR="00F87309" w:rsidRPr="00F87309">
        <w:rPr>
          <w:szCs w:val="24"/>
        </w:rPr>
        <w:t xml:space="preserve">  T</w:t>
      </w:r>
      <w:r w:rsidR="000A2718" w:rsidRPr="00F87309">
        <w:rPr>
          <w:szCs w:val="24"/>
        </w:rPr>
        <w:t xml:space="preserve">he final notice </w:t>
      </w:r>
      <w:r w:rsidR="00F87309">
        <w:rPr>
          <w:szCs w:val="24"/>
        </w:rPr>
        <w:t xml:space="preserve">must state </w:t>
      </w:r>
      <w:r w:rsidR="000A2718" w:rsidRPr="00F87309">
        <w:rPr>
          <w:szCs w:val="24"/>
        </w:rPr>
        <w:t>the amount of the financial penalty, and the</w:t>
      </w:r>
      <w:r w:rsidR="00F87309">
        <w:rPr>
          <w:szCs w:val="24"/>
        </w:rPr>
        <w:t xml:space="preserve"> authority’s</w:t>
      </w:r>
      <w:r w:rsidR="000A2718" w:rsidRPr="00F87309">
        <w:rPr>
          <w:szCs w:val="24"/>
        </w:rPr>
        <w:t xml:space="preserve"> reasons for imposing </w:t>
      </w:r>
      <w:r w:rsidR="00F87309">
        <w:rPr>
          <w:szCs w:val="24"/>
        </w:rPr>
        <w:t>i</w:t>
      </w:r>
      <w:r w:rsidR="000A2718" w:rsidRPr="00F87309">
        <w:rPr>
          <w:szCs w:val="24"/>
        </w:rPr>
        <w:t>t</w:t>
      </w:r>
      <w:r w:rsidR="00F87309">
        <w:rPr>
          <w:szCs w:val="24"/>
        </w:rPr>
        <w:t xml:space="preserve"> (paragraph 8)</w:t>
      </w:r>
      <w:r w:rsidR="000A2718" w:rsidRPr="00F87309">
        <w:rPr>
          <w:szCs w:val="24"/>
        </w:rPr>
        <w:t>.</w:t>
      </w:r>
    </w:p>
    <w:p w14:paraId="457EA097" w14:textId="502A2B69" w:rsidR="000A2718" w:rsidRDefault="000A2718" w:rsidP="00F87309">
      <w:pPr>
        <w:pStyle w:val="ListParagraph"/>
        <w:numPr>
          <w:ilvl w:val="0"/>
          <w:numId w:val="7"/>
        </w:numPr>
        <w:tabs>
          <w:tab w:val="left" w:pos="0"/>
        </w:tabs>
        <w:spacing w:after="360"/>
        <w:ind w:left="567" w:hanging="567"/>
        <w:contextualSpacing w:val="0"/>
        <w:jc w:val="both"/>
        <w:rPr>
          <w:szCs w:val="24"/>
        </w:rPr>
      </w:pPr>
      <w:r>
        <w:rPr>
          <w:szCs w:val="24"/>
        </w:rPr>
        <w:lastRenderedPageBreak/>
        <w:t>A person to whom a final notice is given may appeal to the FTT against the decision to impose the penalty, or against the amount (</w:t>
      </w:r>
      <w:r w:rsidR="00F87309">
        <w:rPr>
          <w:szCs w:val="24"/>
        </w:rPr>
        <w:t xml:space="preserve">paragraph </w:t>
      </w:r>
      <w:r>
        <w:rPr>
          <w:szCs w:val="24"/>
        </w:rPr>
        <w:t xml:space="preserve">10(1), </w:t>
      </w:r>
      <w:r w:rsidR="00F87309">
        <w:rPr>
          <w:szCs w:val="24"/>
        </w:rPr>
        <w:t xml:space="preserve">Schedule </w:t>
      </w:r>
      <w:r>
        <w:rPr>
          <w:szCs w:val="24"/>
        </w:rPr>
        <w:t>13A)). Such an appeal is to be a re-hearing of the authority’s decision (</w:t>
      </w:r>
      <w:r w:rsidR="00F87309">
        <w:rPr>
          <w:szCs w:val="24"/>
        </w:rPr>
        <w:t xml:space="preserve">paragraph </w:t>
      </w:r>
      <w:r>
        <w:rPr>
          <w:szCs w:val="24"/>
        </w:rPr>
        <w:t xml:space="preserve">10(3)(a)). On </w:t>
      </w:r>
      <w:r w:rsidR="00DE703A">
        <w:rPr>
          <w:szCs w:val="24"/>
        </w:rPr>
        <w:t xml:space="preserve">an </w:t>
      </w:r>
      <w:r>
        <w:rPr>
          <w:szCs w:val="24"/>
        </w:rPr>
        <w:t xml:space="preserve">appeal the FTT may confirm, </w:t>
      </w:r>
      <w:proofErr w:type="gramStart"/>
      <w:r>
        <w:rPr>
          <w:szCs w:val="24"/>
        </w:rPr>
        <w:t>vary</w:t>
      </w:r>
      <w:proofErr w:type="gramEnd"/>
      <w:r>
        <w:rPr>
          <w:szCs w:val="24"/>
        </w:rPr>
        <w:t xml:space="preserve"> or cancel a final notice.</w:t>
      </w:r>
    </w:p>
    <w:p w14:paraId="1E853B25" w14:textId="77777777" w:rsidR="00DE703A" w:rsidRDefault="000A2718" w:rsidP="00DE703A">
      <w:pPr>
        <w:pStyle w:val="ListParagraph"/>
        <w:numPr>
          <w:ilvl w:val="0"/>
          <w:numId w:val="7"/>
        </w:numPr>
        <w:tabs>
          <w:tab w:val="left" w:pos="0"/>
        </w:tabs>
        <w:spacing w:after="360"/>
        <w:ind w:left="567" w:hanging="567"/>
        <w:contextualSpacing w:val="0"/>
        <w:jc w:val="both"/>
        <w:rPr>
          <w:szCs w:val="24"/>
        </w:rPr>
      </w:pPr>
      <w:r>
        <w:rPr>
          <w:szCs w:val="24"/>
        </w:rPr>
        <w:t xml:space="preserve">It is clear from </w:t>
      </w:r>
      <w:r w:rsidR="00F87309">
        <w:rPr>
          <w:szCs w:val="24"/>
        </w:rPr>
        <w:t xml:space="preserve">paragraph </w:t>
      </w:r>
      <w:r>
        <w:rPr>
          <w:szCs w:val="24"/>
        </w:rPr>
        <w:t xml:space="preserve">1 of </w:t>
      </w:r>
      <w:r w:rsidR="00F87309">
        <w:rPr>
          <w:szCs w:val="24"/>
        </w:rPr>
        <w:t xml:space="preserve">Schedule </w:t>
      </w:r>
      <w:r>
        <w:rPr>
          <w:szCs w:val="24"/>
        </w:rPr>
        <w:t xml:space="preserve">13A that the service of a notice of intent is an essential pre-condition to the imposition of </w:t>
      </w:r>
      <w:r w:rsidR="001E2909">
        <w:rPr>
          <w:szCs w:val="24"/>
        </w:rPr>
        <w:t>a</w:t>
      </w:r>
      <w:r>
        <w:rPr>
          <w:szCs w:val="24"/>
        </w:rPr>
        <w:t xml:space="preserve"> financial penalty under </w:t>
      </w:r>
      <w:r w:rsidR="00EF681A">
        <w:rPr>
          <w:szCs w:val="24"/>
        </w:rPr>
        <w:t>section</w:t>
      </w:r>
      <w:r w:rsidR="00F87309">
        <w:rPr>
          <w:szCs w:val="24"/>
        </w:rPr>
        <w:t xml:space="preserve"> </w:t>
      </w:r>
      <w:r>
        <w:rPr>
          <w:szCs w:val="24"/>
        </w:rPr>
        <w:t>249A.</w:t>
      </w:r>
    </w:p>
    <w:p w14:paraId="0F767EA8" w14:textId="77777777" w:rsidR="00DE703A" w:rsidRPr="00DE703A" w:rsidRDefault="00DE703A" w:rsidP="00DE703A">
      <w:pPr>
        <w:tabs>
          <w:tab w:val="left" w:pos="0"/>
        </w:tabs>
        <w:spacing w:after="360"/>
        <w:jc w:val="both"/>
        <w:rPr>
          <w:szCs w:val="24"/>
        </w:rPr>
      </w:pPr>
      <w:r w:rsidRPr="00DE703A">
        <w:rPr>
          <w:b/>
          <w:bCs/>
          <w:szCs w:val="24"/>
        </w:rPr>
        <w:t>Defects in compliance with statutory procedures</w:t>
      </w:r>
    </w:p>
    <w:p w14:paraId="4B2F301C" w14:textId="428A2FBF" w:rsidR="00DE703A" w:rsidRPr="00DE703A" w:rsidRDefault="00E83EA9" w:rsidP="00DE703A">
      <w:pPr>
        <w:pStyle w:val="ListParagraph"/>
        <w:numPr>
          <w:ilvl w:val="0"/>
          <w:numId w:val="7"/>
        </w:numPr>
        <w:tabs>
          <w:tab w:val="left" w:pos="0"/>
        </w:tabs>
        <w:spacing w:after="360"/>
        <w:ind w:left="567" w:hanging="567"/>
        <w:contextualSpacing w:val="0"/>
        <w:jc w:val="both"/>
        <w:rPr>
          <w:szCs w:val="24"/>
        </w:rPr>
      </w:pPr>
      <w:r>
        <w:rPr>
          <w:szCs w:val="24"/>
        </w:rPr>
        <w:t xml:space="preserve">This appeal is about compliance with statutory procedures and the consequences of non-compliance.  </w:t>
      </w:r>
      <w:r w:rsidR="00DE703A">
        <w:rPr>
          <w:szCs w:val="24"/>
        </w:rPr>
        <w:t xml:space="preserve">In the twentieth century courts and tribunals would often </w:t>
      </w:r>
      <w:r w:rsidR="006B7CE6">
        <w:rPr>
          <w:szCs w:val="24"/>
        </w:rPr>
        <w:t xml:space="preserve">classify procedural steps as either mandatory or directory and would treat </w:t>
      </w:r>
      <w:r w:rsidR="00DE703A">
        <w:rPr>
          <w:szCs w:val="24"/>
        </w:rPr>
        <w:t xml:space="preserve">a failure to follow </w:t>
      </w:r>
      <w:r w:rsidR="006B7CE6">
        <w:rPr>
          <w:szCs w:val="24"/>
        </w:rPr>
        <w:t xml:space="preserve">a mandatory step as </w:t>
      </w:r>
      <w:r w:rsidR="006B7CE6" w:rsidRPr="006B7CE6">
        <w:rPr>
          <w:szCs w:val="24"/>
        </w:rPr>
        <w:t>fatal to the validity of subsequent proceedings</w:t>
      </w:r>
      <w:r w:rsidR="006B7CE6">
        <w:rPr>
          <w:szCs w:val="24"/>
        </w:rPr>
        <w:t>, whereas neglecting to follow a directory step would not have that consequence.</w:t>
      </w:r>
      <w:r w:rsidR="00DE703A">
        <w:rPr>
          <w:szCs w:val="24"/>
        </w:rPr>
        <w:t xml:space="preserve"> </w:t>
      </w:r>
      <w:r w:rsidR="006B7CE6">
        <w:rPr>
          <w:szCs w:val="24"/>
        </w:rPr>
        <w:t xml:space="preserve"> S</w:t>
      </w:r>
      <w:r w:rsidR="006B7CE6" w:rsidRPr="006B7CE6">
        <w:rPr>
          <w:szCs w:val="24"/>
        </w:rPr>
        <w:t xml:space="preserve">ince the decision of the Court of Appeal in </w:t>
      </w:r>
      <w:bookmarkStart w:id="2" w:name="_Hlk156405223"/>
      <w:r w:rsidR="006B7CE6" w:rsidRPr="006B7CE6">
        <w:rPr>
          <w:i/>
          <w:iCs/>
          <w:szCs w:val="24"/>
        </w:rPr>
        <w:t>R v Home Sec., Ex p Jeyeanthan</w:t>
      </w:r>
      <w:r w:rsidR="006B7CE6" w:rsidRPr="006B7CE6">
        <w:rPr>
          <w:szCs w:val="24"/>
        </w:rPr>
        <w:t xml:space="preserve"> [2000] 1 WLR 354</w:t>
      </w:r>
      <w:bookmarkEnd w:id="2"/>
      <w:r w:rsidR="006B7CE6" w:rsidRPr="006B7CE6">
        <w:rPr>
          <w:szCs w:val="24"/>
        </w:rPr>
        <w:t xml:space="preserve">, </w:t>
      </w:r>
      <w:r w:rsidR="006B7CE6">
        <w:rPr>
          <w:szCs w:val="24"/>
        </w:rPr>
        <w:t>t</w:t>
      </w:r>
      <w:r w:rsidR="00DE703A" w:rsidRPr="00DE703A">
        <w:rPr>
          <w:szCs w:val="24"/>
        </w:rPr>
        <w:t xml:space="preserve">he modern approach to compliance </w:t>
      </w:r>
      <w:r w:rsidR="00DE703A">
        <w:rPr>
          <w:szCs w:val="24"/>
        </w:rPr>
        <w:t xml:space="preserve">with procedures laid down by statute </w:t>
      </w:r>
      <w:r w:rsidR="00DE703A" w:rsidRPr="00DE703A">
        <w:rPr>
          <w:szCs w:val="24"/>
        </w:rPr>
        <w:t xml:space="preserve">and </w:t>
      </w:r>
      <w:r w:rsidR="00DE703A">
        <w:rPr>
          <w:szCs w:val="24"/>
        </w:rPr>
        <w:t>the</w:t>
      </w:r>
      <w:r w:rsidR="00DE703A" w:rsidRPr="00DE703A">
        <w:rPr>
          <w:szCs w:val="24"/>
        </w:rPr>
        <w:t xml:space="preserve"> </w:t>
      </w:r>
      <w:r w:rsidR="00DE703A">
        <w:rPr>
          <w:szCs w:val="24"/>
        </w:rPr>
        <w:t>effect of non-compliance</w:t>
      </w:r>
      <w:r w:rsidR="00DE703A" w:rsidRPr="00DE703A">
        <w:rPr>
          <w:szCs w:val="24"/>
        </w:rPr>
        <w:t xml:space="preserve"> on the validity of subsequent proceedings</w:t>
      </w:r>
      <w:r w:rsidR="006B7CE6">
        <w:rPr>
          <w:szCs w:val="24"/>
        </w:rPr>
        <w:t xml:space="preserve"> is quite different.  It</w:t>
      </w:r>
      <w:r w:rsidR="00DE703A" w:rsidRPr="00DE703A">
        <w:rPr>
          <w:szCs w:val="24"/>
        </w:rPr>
        <w:t xml:space="preserve"> was summarised by Males LJ in </w:t>
      </w:r>
      <w:bookmarkStart w:id="3" w:name="_Hlk157427802"/>
      <w:r w:rsidR="00DE703A" w:rsidRPr="00DE703A">
        <w:rPr>
          <w:i/>
          <w:iCs/>
          <w:szCs w:val="24"/>
        </w:rPr>
        <w:t xml:space="preserve">Director of Public Prosecutions v McFarlane </w:t>
      </w:r>
      <w:r w:rsidR="00DE703A" w:rsidRPr="00DE703A">
        <w:rPr>
          <w:szCs w:val="24"/>
        </w:rPr>
        <w:t>[2020] 1 Cr. App. R. 4</w:t>
      </w:r>
      <w:bookmarkEnd w:id="3"/>
      <w:r w:rsidR="00DE703A" w:rsidRPr="00DE703A">
        <w:rPr>
          <w:szCs w:val="24"/>
        </w:rPr>
        <w:t>, at [25], as follows:</w:t>
      </w:r>
    </w:p>
    <w:p w14:paraId="6C558FDD" w14:textId="77777777" w:rsidR="00DE703A" w:rsidRDefault="00DE703A" w:rsidP="00DE703A">
      <w:pPr>
        <w:pStyle w:val="ListParagraph"/>
        <w:tabs>
          <w:tab w:val="left" w:pos="0"/>
        </w:tabs>
        <w:spacing w:after="360"/>
        <w:ind w:left="1134" w:right="567"/>
        <w:contextualSpacing w:val="0"/>
        <w:jc w:val="both"/>
        <w:rPr>
          <w:szCs w:val="24"/>
        </w:rPr>
      </w:pPr>
      <w:r>
        <w:rPr>
          <w:szCs w:val="24"/>
        </w:rPr>
        <w:t>“</w:t>
      </w:r>
      <w:r w:rsidRPr="007D3CD2">
        <w:rPr>
          <w:szCs w:val="24"/>
        </w:rPr>
        <w:t>That approach is, broadly speaking, that the effect of procedural defects does not depend upon whether the requirements in question should be classified as mandatory or directory but on what Parliament intended to be the consequences of non-compliance. Parliament should not be taken to have intended that the consequences of non-compliance will be to render the proceedings a nullity, except in clear cases, and, in particular, should not be taken to have so intended when that would defeat the purpose of the legislation in question and when the non-compliance has caused no injustice to the defendant.</w:t>
      </w:r>
      <w:r>
        <w:rPr>
          <w:szCs w:val="24"/>
        </w:rPr>
        <w:t>”</w:t>
      </w:r>
    </w:p>
    <w:p w14:paraId="5EFA0757" w14:textId="45E4871C" w:rsidR="00CB5D94" w:rsidRDefault="00E83EA9" w:rsidP="00CB5D94">
      <w:pPr>
        <w:pStyle w:val="ListParagraph"/>
        <w:numPr>
          <w:ilvl w:val="0"/>
          <w:numId w:val="7"/>
        </w:numPr>
        <w:tabs>
          <w:tab w:val="left" w:pos="0"/>
        </w:tabs>
        <w:spacing w:after="360"/>
        <w:ind w:left="567" w:hanging="567"/>
        <w:contextualSpacing w:val="0"/>
        <w:jc w:val="both"/>
        <w:rPr>
          <w:szCs w:val="24"/>
        </w:rPr>
      </w:pPr>
      <w:r>
        <w:rPr>
          <w:szCs w:val="24"/>
        </w:rPr>
        <w:t xml:space="preserve">These principles are of wide application: </w:t>
      </w:r>
      <w:bookmarkStart w:id="4" w:name="_Hlk156990662"/>
      <w:r w:rsidR="006B7CE6" w:rsidRPr="006B7CE6">
        <w:rPr>
          <w:i/>
          <w:iCs/>
          <w:szCs w:val="24"/>
        </w:rPr>
        <w:t>Jeyeanthan</w:t>
      </w:r>
      <w:bookmarkEnd w:id="4"/>
      <w:r w:rsidR="006B7CE6" w:rsidRPr="006B7CE6">
        <w:rPr>
          <w:i/>
          <w:iCs/>
          <w:szCs w:val="24"/>
        </w:rPr>
        <w:t xml:space="preserve"> </w:t>
      </w:r>
      <w:r w:rsidR="006B7CE6">
        <w:rPr>
          <w:szCs w:val="24"/>
        </w:rPr>
        <w:t xml:space="preserve">was an immigration case while </w:t>
      </w:r>
      <w:r w:rsidR="00DE703A">
        <w:rPr>
          <w:i/>
          <w:iCs/>
          <w:szCs w:val="24"/>
        </w:rPr>
        <w:t xml:space="preserve">McFarlane </w:t>
      </w:r>
      <w:r w:rsidR="00DE703A">
        <w:rPr>
          <w:szCs w:val="24"/>
        </w:rPr>
        <w:t>concerned the procedure under section 29</w:t>
      </w:r>
      <w:r w:rsidR="00EB7208">
        <w:rPr>
          <w:szCs w:val="24"/>
        </w:rPr>
        <w:t>,</w:t>
      </w:r>
      <w:r w:rsidR="00DE703A">
        <w:rPr>
          <w:szCs w:val="24"/>
        </w:rPr>
        <w:t xml:space="preserve"> Criminal Justice Act 2003 for instituting criminal proceedings</w:t>
      </w:r>
      <w:r>
        <w:rPr>
          <w:szCs w:val="24"/>
        </w:rPr>
        <w:t>.  F</w:t>
      </w:r>
      <w:r w:rsidR="00DE703A">
        <w:rPr>
          <w:szCs w:val="24"/>
        </w:rPr>
        <w:t xml:space="preserve">or more than twenty years </w:t>
      </w:r>
      <w:r w:rsidR="00DE703A" w:rsidRPr="00BE5AD2">
        <w:rPr>
          <w:szCs w:val="24"/>
        </w:rPr>
        <w:t xml:space="preserve">the same approach has been </w:t>
      </w:r>
      <w:r>
        <w:rPr>
          <w:szCs w:val="24"/>
        </w:rPr>
        <w:t xml:space="preserve">adopted </w:t>
      </w:r>
      <w:r w:rsidR="00DE703A" w:rsidRPr="00BE5AD2">
        <w:rPr>
          <w:szCs w:val="24"/>
        </w:rPr>
        <w:t>in civil and public law proceedings</w:t>
      </w:r>
      <w:r w:rsidR="00DE703A">
        <w:rPr>
          <w:szCs w:val="24"/>
        </w:rPr>
        <w:t xml:space="preserve"> </w:t>
      </w:r>
      <w:r w:rsidR="00DE703A" w:rsidRPr="00BE5AD2">
        <w:rPr>
          <w:szCs w:val="24"/>
        </w:rPr>
        <w:t>where the consequences of procedural defects</w:t>
      </w:r>
      <w:r w:rsidR="00DE703A">
        <w:rPr>
          <w:szCs w:val="24"/>
        </w:rPr>
        <w:t xml:space="preserve"> have had to be considered.    </w:t>
      </w:r>
    </w:p>
    <w:p w14:paraId="168CC321" w14:textId="3BEBD9F0" w:rsidR="000C1CC5" w:rsidRPr="000C1CC5" w:rsidRDefault="00CB5D94" w:rsidP="000C1CC5">
      <w:pPr>
        <w:pStyle w:val="ListParagraph"/>
        <w:numPr>
          <w:ilvl w:val="0"/>
          <w:numId w:val="7"/>
        </w:numPr>
        <w:tabs>
          <w:tab w:val="left" w:pos="0"/>
        </w:tabs>
        <w:spacing w:after="360"/>
        <w:ind w:left="567" w:hanging="567"/>
        <w:contextualSpacing w:val="0"/>
        <w:jc w:val="both"/>
        <w:rPr>
          <w:szCs w:val="24"/>
        </w:rPr>
      </w:pPr>
      <w:r w:rsidRPr="00CB5D94">
        <w:rPr>
          <w:szCs w:val="24"/>
        </w:rPr>
        <w:t xml:space="preserve">In </w:t>
      </w:r>
      <w:r w:rsidRPr="000C1CC5">
        <w:rPr>
          <w:i/>
          <w:iCs/>
          <w:szCs w:val="24"/>
        </w:rPr>
        <w:t>Newbold v Coal Authority</w:t>
      </w:r>
      <w:r w:rsidRPr="00CB5D94">
        <w:rPr>
          <w:szCs w:val="24"/>
        </w:rPr>
        <w:t xml:space="preserve"> [2014] 1 WLR 1288</w:t>
      </w:r>
      <w:r w:rsidR="000C1CC5">
        <w:rPr>
          <w:szCs w:val="24"/>
        </w:rPr>
        <w:t>, an appeal from a decision of this Tribunal in a mining subsidence compensation case, the</w:t>
      </w:r>
      <w:r w:rsidRPr="00CB5D94">
        <w:rPr>
          <w:szCs w:val="24"/>
        </w:rPr>
        <w:t xml:space="preserve"> </w:t>
      </w:r>
      <w:r w:rsidR="000C1CC5" w:rsidRPr="000C1CC5">
        <w:rPr>
          <w:i/>
          <w:iCs/>
          <w:szCs w:val="24"/>
        </w:rPr>
        <w:t>Jeyeanthan</w:t>
      </w:r>
      <w:r w:rsidR="000C1CC5" w:rsidRPr="000C1CC5">
        <w:rPr>
          <w:szCs w:val="24"/>
        </w:rPr>
        <w:t xml:space="preserve"> </w:t>
      </w:r>
      <w:r w:rsidRPr="000C1CC5">
        <w:rPr>
          <w:szCs w:val="24"/>
        </w:rPr>
        <w:t>approach</w:t>
      </w:r>
      <w:r w:rsidRPr="00CB5D94">
        <w:rPr>
          <w:szCs w:val="24"/>
        </w:rPr>
        <w:t xml:space="preserve"> was applied </w:t>
      </w:r>
      <w:r w:rsidR="000C1CC5">
        <w:rPr>
          <w:szCs w:val="24"/>
        </w:rPr>
        <w:t xml:space="preserve">by the Court of Appeal to a notice of claim.  </w:t>
      </w:r>
      <w:r w:rsidRPr="00CB5D94">
        <w:rPr>
          <w:szCs w:val="24"/>
        </w:rPr>
        <w:t xml:space="preserve">Sir Stanley Burton </w:t>
      </w:r>
      <w:r w:rsidR="000C1CC5">
        <w:rPr>
          <w:szCs w:val="24"/>
        </w:rPr>
        <w:t xml:space="preserve">explained, at </w:t>
      </w:r>
      <w:r w:rsidRPr="00CB5D94">
        <w:rPr>
          <w:szCs w:val="24"/>
        </w:rPr>
        <w:t>[70]</w:t>
      </w:r>
      <w:r w:rsidR="000C1CC5">
        <w:rPr>
          <w:szCs w:val="24"/>
        </w:rPr>
        <w:t xml:space="preserve">, </w:t>
      </w:r>
      <w:r w:rsidR="000C1CC5" w:rsidRPr="000C1CC5">
        <w:rPr>
          <w:szCs w:val="24"/>
        </w:rPr>
        <w:t>how a court or tribunal should distinguish between</w:t>
      </w:r>
      <w:r w:rsidR="000C1CC5">
        <w:rPr>
          <w:szCs w:val="24"/>
        </w:rPr>
        <w:t xml:space="preserve"> </w:t>
      </w:r>
      <w:r w:rsidRPr="000C1CC5">
        <w:t>statutory or contractual requirements</w:t>
      </w:r>
      <w:r w:rsidR="000C1CC5" w:rsidRPr="000C1CC5">
        <w:t xml:space="preserve"> which</w:t>
      </w:r>
      <w:r w:rsidRPr="000C1CC5">
        <w:t xml:space="preserve"> require strict compliance as a condition of validity</w:t>
      </w:r>
      <w:r w:rsidR="000C1CC5">
        <w:t>, and</w:t>
      </w:r>
      <w:r w:rsidR="000C1CC5" w:rsidRPr="000C1CC5">
        <w:t xml:space="preserve"> requirements which </w:t>
      </w:r>
      <w:r w:rsidRPr="000C1CC5">
        <w:t xml:space="preserve">may be satisfied by what </w:t>
      </w:r>
      <w:r w:rsidR="00EB7208">
        <w:t>he</w:t>
      </w:r>
      <w:r w:rsidRPr="000C1CC5">
        <w:t xml:space="preserve"> referred to as </w:t>
      </w:r>
      <w:r w:rsidR="00EB7208">
        <w:t>“</w:t>
      </w:r>
      <w:r w:rsidRPr="000C1CC5">
        <w:t>adequate compliance</w:t>
      </w:r>
      <w:r w:rsidR="00EB7208">
        <w:t>”</w:t>
      </w:r>
      <w:r w:rsidR="000C1CC5" w:rsidRPr="000C1CC5">
        <w:t xml:space="preserve"> or where </w:t>
      </w:r>
      <w:r w:rsidRPr="000C1CC5">
        <w:t xml:space="preserve">even non-compliance </w:t>
      </w:r>
      <w:r w:rsidR="000C1CC5" w:rsidRPr="000C1CC5">
        <w:t>may</w:t>
      </w:r>
      <w:r w:rsidRPr="000C1CC5">
        <w:t xml:space="preserve"> not</w:t>
      </w:r>
      <w:r w:rsidR="000C1CC5" w:rsidRPr="000C1CC5">
        <w:t xml:space="preserve"> be</w:t>
      </w:r>
      <w:r w:rsidRPr="000C1CC5">
        <w:t xml:space="preserve"> fatal.</w:t>
      </w:r>
      <w:r w:rsidRPr="000C1CC5">
        <w:rPr>
          <w:i/>
          <w:iCs/>
        </w:rPr>
        <w:t xml:space="preserve"> </w:t>
      </w:r>
      <w:r w:rsidR="000C1CC5">
        <w:rPr>
          <w:i/>
          <w:iCs/>
        </w:rPr>
        <w:t xml:space="preserve"> </w:t>
      </w:r>
      <w:r w:rsidR="000C1CC5" w:rsidRPr="000C1CC5">
        <w:t>In each case it is a question of interpretation of the relevant requirement:</w:t>
      </w:r>
    </w:p>
    <w:p w14:paraId="372B31BD" w14:textId="2D6C386D" w:rsidR="00CB5D94" w:rsidRPr="000C1CC5" w:rsidRDefault="000C1CC5" w:rsidP="000C1CC5">
      <w:pPr>
        <w:pStyle w:val="ListParagraph"/>
        <w:tabs>
          <w:tab w:val="left" w:pos="0"/>
        </w:tabs>
        <w:spacing w:after="360"/>
        <w:ind w:left="1134" w:right="567"/>
        <w:contextualSpacing w:val="0"/>
        <w:jc w:val="both"/>
        <w:rPr>
          <w:szCs w:val="24"/>
        </w:rPr>
      </w:pPr>
      <w:r w:rsidRPr="000C1CC5">
        <w:t>“</w:t>
      </w:r>
      <w:r w:rsidR="00CB5D94" w:rsidRPr="000C1CC5">
        <w:t xml:space="preserve">In all such cases, it is necessary to consider the words of the statute or contract, in the light of its subject matter, the background, the purpose of the requirement, if that is known or determined, and the actual or possible effect of non-compliance on the parties. We assume that Parliament in the case of legislation, </w:t>
      </w:r>
      <w:r w:rsidR="00CB5D94" w:rsidRPr="000C1CC5">
        <w:lastRenderedPageBreak/>
        <w:t>and the parties in the</w:t>
      </w:r>
      <w:r w:rsidR="00CB5D94" w:rsidRPr="000C1CC5">
        <w:rPr>
          <w:b/>
          <w:bCs/>
        </w:rPr>
        <w:t xml:space="preserve"> </w:t>
      </w:r>
      <w:r w:rsidR="00CB5D94" w:rsidRPr="000C1CC5">
        <w:t>case of a contractual requirement, would have intended a sensible, and in the case of a contract, commercial result.</w:t>
      </w:r>
      <w:r>
        <w:t>”</w:t>
      </w:r>
      <w:r w:rsidR="00CB5D94" w:rsidRPr="000C1CC5">
        <w:t xml:space="preserve"> </w:t>
      </w:r>
    </w:p>
    <w:p w14:paraId="071DB4FE" w14:textId="60190282" w:rsidR="00DE703A" w:rsidRDefault="00BB4511" w:rsidP="00F87309">
      <w:pPr>
        <w:pStyle w:val="ListParagraph"/>
        <w:numPr>
          <w:ilvl w:val="0"/>
          <w:numId w:val="7"/>
        </w:numPr>
        <w:tabs>
          <w:tab w:val="left" w:pos="0"/>
        </w:tabs>
        <w:spacing w:after="360"/>
        <w:ind w:left="567" w:hanging="567"/>
        <w:contextualSpacing w:val="0"/>
        <w:jc w:val="both"/>
        <w:rPr>
          <w:szCs w:val="24"/>
        </w:rPr>
      </w:pPr>
      <w:r>
        <w:rPr>
          <w:szCs w:val="24"/>
        </w:rPr>
        <w:t xml:space="preserve">In </w:t>
      </w:r>
      <w:r w:rsidRPr="00BB4511">
        <w:rPr>
          <w:i/>
          <w:iCs/>
          <w:szCs w:val="24"/>
        </w:rPr>
        <w:t>Waltham Forest LBC v Younis</w:t>
      </w:r>
      <w:r w:rsidRPr="00BB4511">
        <w:rPr>
          <w:szCs w:val="24"/>
        </w:rPr>
        <w:t xml:space="preserve"> [2019] UKUT 362 (LC)</w:t>
      </w:r>
      <w:r>
        <w:rPr>
          <w:szCs w:val="24"/>
        </w:rPr>
        <w:t xml:space="preserve"> </w:t>
      </w:r>
      <w:r w:rsidR="00711F9E" w:rsidRPr="00711F9E">
        <w:rPr>
          <w:szCs w:val="24"/>
        </w:rPr>
        <w:t>(a decision of my own)</w:t>
      </w:r>
      <w:r w:rsidR="00711F9E">
        <w:rPr>
          <w:szCs w:val="24"/>
        </w:rPr>
        <w:t xml:space="preserve"> </w:t>
      </w:r>
      <w:r>
        <w:rPr>
          <w:szCs w:val="24"/>
        </w:rPr>
        <w:t>the same approach was applied by the Tribunal when it considered the sufficiency of an initial notice given by a local housing authority under section 249A, 2004 Act informing a landlord of its intention to impose a financial penalty on him because he had breache</w:t>
      </w:r>
      <w:r w:rsidR="00A842E3">
        <w:rPr>
          <w:szCs w:val="24"/>
        </w:rPr>
        <w:t>d</w:t>
      </w:r>
      <w:r>
        <w:rPr>
          <w:szCs w:val="24"/>
        </w:rPr>
        <w:t xml:space="preserve"> conditions in </w:t>
      </w:r>
      <w:r w:rsidR="00A842E3">
        <w:rPr>
          <w:szCs w:val="24"/>
        </w:rPr>
        <w:t xml:space="preserve">a licence he held under Part 3 of the Act (an offence contrary to section 95, 2004 Act).  The authority was satisfied that </w:t>
      </w:r>
      <w:r w:rsidR="00A842E3" w:rsidRPr="00A842E3">
        <w:rPr>
          <w:szCs w:val="24"/>
        </w:rPr>
        <w:t xml:space="preserve">the premises </w:t>
      </w:r>
      <w:r w:rsidR="00A842E3">
        <w:rPr>
          <w:szCs w:val="24"/>
        </w:rPr>
        <w:t xml:space="preserve">in question </w:t>
      </w:r>
      <w:r w:rsidR="00A842E3" w:rsidRPr="00A842E3">
        <w:rPr>
          <w:szCs w:val="24"/>
        </w:rPr>
        <w:t>were being used as a gambling den and for the sale of alcohol and take-away food</w:t>
      </w:r>
      <w:r w:rsidR="00A842E3">
        <w:rPr>
          <w:szCs w:val="24"/>
        </w:rPr>
        <w:t xml:space="preserve"> and that</w:t>
      </w:r>
      <w:r w:rsidR="00BA2188">
        <w:rPr>
          <w:szCs w:val="24"/>
        </w:rPr>
        <w:t>,</w:t>
      </w:r>
      <w:r w:rsidR="00A842E3">
        <w:rPr>
          <w:szCs w:val="24"/>
        </w:rPr>
        <w:t xml:space="preserve"> </w:t>
      </w:r>
      <w:r w:rsidR="00BA2188" w:rsidRPr="00BA2188">
        <w:rPr>
          <w:szCs w:val="24"/>
        </w:rPr>
        <w:t>contrary to</w:t>
      </w:r>
      <w:r w:rsidR="00BA2188">
        <w:rPr>
          <w:szCs w:val="24"/>
        </w:rPr>
        <w:t xml:space="preserve"> a</w:t>
      </w:r>
      <w:r w:rsidR="00BA2188" w:rsidRPr="00BA2188">
        <w:rPr>
          <w:szCs w:val="24"/>
        </w:rPr>
        <w:t xml:space="preserve"> condition in his licence</w:t>
      </w:r>
      <w:r w:rsidR="00BA2188">
        <w:rPr>
          <w:szCs w:val="24"/>
        </w:rPr>
        <w:t>,</w:t>
      </w:r>
      <w:r w:rsidR="00BA2188" w:rsidRPr="00BA2188">
        <w:rPr>
          <w:szCs w:val="24"/>
        </w:rPr>
        <w:t xml:space="preserve"> </w:t>
      </w:r>
      <w:r w:rsidR="00A842E3">
        <w:rPr>
          <w:szCs w:val="24"/>
        </w:rPr>
        <w:t>the landlord had failed to take adequate steps to control th</w:t>
      </w:r>
      <w:r w:rsidR="00EB7208">
        <w:rPr>
          <w:szCs w:val="24"/>
        </w:rPr>
        <w:t>at</w:t>
      </w:r>
      <w:r w:rsidR="00A842E3">
        <w:rPr>
          <w:szCs w:val="24"/>
        </w:rPr>
        <w:t xml:space="preserve"> anti-social behaviour.  After months of correspondence about the problem, and after the authority had obtained a closure order from the magistrates’ court, it served a notice of intent on the landlord in which it said that he had committed an offence by failing to comply with the relevant condition, contrary to section 95.  No further details of the offence were given in the notice of intent</w:t>
      </w:r>
      <w:r w:rsidR="00BA2188">
        <w:rPr>
          <w:szCs w:val="24"/>
        </w:rPr>
        <w:t>, but copies of witness statements prepared by</w:t>
      </w:r>
      <w:r w:rsidR="00BA2188" w:rsidRPr="00BA2188">
        <w:rPr>
          <w:szCs w:val="24"/>
        </w:rPr>
        <w:t xml:space="preserve"> Council officers </w:t>
      </w:r>
      <w:r w:rsidR="00BA2188">
        <w:rPr>
          <w:szCs w:val="24"/>
        </w:rPr>
        <w:t xml:space="preserve">for use in the closure order application </w:t>
      </w:r>
      <w:r w:rsidR="00BA2188" w:rsidRPr="00BA2188">
        <w:rPr>
          <w:szCs w:val="24"/>
        </w:rPr>
        <w:t xml:space="preserve">were served with the notice </w:t>
      </w:r>
      <w:r w:rsidR="00BA2188">
        <w:rPr>
          <w:szCs w:val="24"/>
        </w:rPr>
        <w:t>and these described the conduct complained of in considerable detail.</w:t>
      </w:r>
      <w:r w:rsidR="00A842E3">
        <w:rPr>
          <w:szCs w:val="24"/>
        </w:rPr>
        <w:t xml:space="preserve">  </w:t>
      </w:r>
      <w:r w:rsidR="00BA2188">
        <w:rPr>
          <w:szCs w:val="24"/>
        </w:rPr>
        <w:t>Nor did either the notice of intent or the witness statements identify which of the various steps listed in the licence condition the landlord was said to have failed to take.</w:t>
      </w:r>
    </w:p>
    <w:p w14:paraId="1F58D464" w14:textId="36952BC4" w:rsidR="00BA2188" w:rsidRDefault="00BA2188" w:rsidP="00F87309">
      <w:pPr>
        <w:pStyle w:val="ListParagraph"/>
        <w:numPr>
          <w:ilvl w:val="0"/>
          <w:numId w:val="7"/>
        </w:numPr>
        <w:tabs>
          <w:tab w:val="left" w:pos="0"/>
        </w:tabs>
        <w:spacing w:after="360"/>
        <w:ind w:left="567" w:hanging="567"/>
        <w:contextualSpacing w:val="0"/>
        <w:jc w:val="both"/>
        <w:rPr>
          <w:szCs w:val="24"/>
        </w:rPr>
      </w:pPr>
      <w:r>
        <w:rPr>
          <w:szCs w:val="24"/>
        </w:rPr>
        <w:t>The FTT allowed the landlord’s appeal against the financial penalty.  It held that the notice of intent had been invalid because it did not specify which part of the condition was being relied on nor did it state the date on which the offence was said to have been committed.</w:t>
      </w:r>
      <w:r w:rsidR="007E63B4">
        <w:rPr>
          <w:szCs w:val="24"/>
        </w:rPr>
        <w:t xml:space="preserve">  The authority appealed to this Tribunal, which allowed the appeal and held that the notice of intent had been valid; if the notice had been invalid, the Tribunal said it would nevertheless have upheld the financial penalty.</w:t>
      </w:r>
    </w:p>
    <w:p w14:paraId="3FA92330" w14:textId="6BE8E497" w:rsidR="007E63B4" w:rsidRDefault="007E63B4" w:rsidP="00F87309">
      <w:pPr>
        <w:pStyle w:val="ListParagraph"/>
        <w:numPr>
          <w:ilvl w:val="0"/>
          <w:numId w:val="7"/>
        </w:numPr>
        <w:tabs>
          <w:tab w:val="left" w:pos="0"/>
        </w:tabs>
        <w:spacing w:after="360"/>
        <w:ind w:left="567" w:hanging="567"/>
        <w:contextualSpacing w:val="0"/>
        <w:jc w:val="both"/>
        <w:rPr>
          <w:szCs w:val="24"/>
        </w:rPr>
      </w:pPr>
      <w:r>
        <w:rPr>
          <w:szCs w:val="24"/>
        </w:rPr>
        <w:t>The Tribunal first considered the purpose of a notice of intent within the statutory scheme, at [50]:</w:t>
      </w:r>
    </w:p>
    <w:p w14:paraId="5F18DCB9" w14:textId="2DF2EE3F" w:rsidR="007E63B4" w:rsidRDefault="007E63B4" w:rsidP="007E63B4">
      <w:pPr>
        <w:pStyle w:val="ListParagraph"/>
        <w:tabs>
          <w:tab w:val="left" w:pos="0"/>
        </w:tabs>
        <w:spacing w:after="360"/>
        <w:ind w:left="1134" w:right="567"/>
        <w:contextualSpacing w:val="0"/>
        <w:jc w:val="both"/>
        <w:rPr>
          <w:szCs w:val="24"/>
        </w:rPr>
      </w:pPr>
      <w:r>
        <w:rPr>
          <w:szCs w:val="24"/>
        </w:rPr>
        <w:t>“</w:t>
      </w:r>
      <w:r w:rsidRPr="007E63B4">
        <w:rPr>
          <w:szCs w:val="24"/>
        </w:rPr>
        <w:t xml:space="preserve">It was not suggested by Mr Underwood that it would be sufficient for an authority to state baldly that it was satisfied that a person’s conduct amounted to a particular offence, without providing any further information. The purpose of setting out the authority’s reasons is so that the recipient of the notice of intent can respond to it with representations, which must then be </w:t>
      </w:r>
      <w:proofErr w:type="gramStart"/>
      <w:r w:rsidRPr="007E63B4">
        <w:rPr>
          <w:szCs w:val="24"/>
        </w:rPr>
        <w:t>taken into account</w:t>
      </w:r>
      <w:proofErr w:type="gramEnd"/>
      <w:r w:rsidRPr="007E63B4">
        <w:rPr>
          <w:szCs w:val="24"/>
        </w:rPr>
        <w:t xml:space="preserve"> by the authority. The notice must therefore provide a sufficient account of the authority’s reasons for proposing a financial penalty to enable the recipient to understand what conduct or omission is being said to amount to the offence which has been identified.</w:t>
      </w:r>
      <w:r>
        <w:rPr>
          <w:szCs w:val="24"/>
        </w:rPr>
        <w:t>”</w:t>
      </w:r>
    </w:p>
    <w:p w14:paraId="621564C5" w14:textId="2158F0C9" w:rsidR="00713624" w:rsidRDefault="00713624" w:rsidP="00F87309">
      <w:pPr>
        <w:pStyle w:val="ListParagraph"/>
        <w:numPr>
          <w:ilvl w:val="0"/>
          <w:numId w:val="7"/>
        </w:numPr>
        <w:tabs>
          <w:tab w:val="left" w:pos="0"/>
        </w:tabs>
        <w:spacing w:after="360"/>
        <w:ind w:left="567" w:hanging="567"/>
        <w:contextualSpacing w:val="0"/>
        <w:jc w:val="both"/>
        <w:rPr>
          <w:szCs w:val="24"/>
        </w:rPr>
      </w:pPr>
      <w:r>
        <w:rPr>
          <w:szCs w:val="24"/>
        </w:rPr>
        <w:t>The approach taken by the authority of annexing lengthy witness statements to the notice was described as “far from ideal” and “poor technique” but it did not render the notice invalid</w:t>
      </w:r>
      <w:r w:rsidR="007B5238">
        <w:rPr>
          <w:szCs w:val="24"/>
        </w:rPr>
        <w:t>,</w:t>
      </w:r>
      <w:r>
        <w:rPr>
          <w:szCs w:val="24"/>
        </w:rPr>
        <w:t xml:space="preserve"> as the Tribunal explained at [52].</w:t>
      </w:r>
    </w:p>
    <w:p w14:paraId="2E348334" w14:textId="0D263C1E" w:rsidR="00713624" w:rsidRDefault="00713624" w:rsidP="00713624">
      <w:pPr>
        <w:pStyle w:val="ListParagraph"/>
        <w:tabs>
          <w:tab w:val="left" w:pos="0"/>
        </w:tabs>
        <w:spacing w:after="360"/>
        <w:ind w:left="1134" w:right="567"/>
        <w:contextualSpacing w:val="0"/>
        <w:jc w:val="both"/>
        <w:rPr>
          <w:szCs w:val="24"/>
        </w:rPr>
      </w:pPr>
      <w:r>
        <w:rPr>
          <w:szCs w:val="24"/>
        </w:rPr>
        <w:t>“</w:t>
      </w:r>
      <w:r w:rsidRPr="00713624">
        <w:rPr>
          <w:szCs w:val="24"/>
        </w:rPr>
        <w:t xml:space="preserve">Mr Stancliffe submitted that it was not permissible to set out reasons in separate documents, but in the absence of a prescribed form there is no reason why paragraph 3(b) should be interpreted in such a restrictive way. What is required is that the authority’s reasons be set out sufficiently clearly so that they </w:t>
      </w:r>
      <w:r w:rsidRPr="00713624">
        <w:rPr>
          <w:szCs w:val="24"/>
        </w:rPr>
        <w:lastRenderedPageBreak/>
        <w:t>can be understood, and it is sufficient if that is done in more than one document. In this case the witness statements are properly treated as forming part of the notice because they accompanied it and were referred to in the authority’s explanatory letter as providing details of the offence.</w:t>
      </w:r>
      <w:r>
        <w:rPr>
          <w:szCs w:val="24"/>
        </w:rPr>
        <w:t>”</w:t>
      </w:r>
    </w:p>
    <w:p w14:paraId="54D1C346" w14:textId="3304BC8B" w:rsidR="007E63B4" w:rsidRDefault="00713624" w:rsidP="00753936">
      <w:pPr>
        <w:pStyle w:val="ListParagraph"/>
        <w:numPr>
          <w:ilvl w:val="0"/>
          <w:numId w:val="7"/>
        </w:numPr>
        <w:tabs>
          <w:tab w:val="left" w:pos="0"/>
        </w:tabs>
        <w:spacing w:after="360"/>
        <w:ind w:left="567" w:hanging="567"/>
        <w:contextualSpacing w:val="0"/>
        <w:jc w:val="both"/>
        <w:rPr>
          <w:szCs w:val="24"/>
        </w:rPr>
      </w:pPr>
      <w:r w:rsidRPr="00396AC8">
        <w:rPr>
          <w:szCs w:val="24"/>
        </w:rPr>
        <w:t xml:space="preserve">The Tribunal was satisfied that the notice of intent provided the required information and that it was valid.  </w:t>
      </w:r>
      <w:r w:rsidR="007E63B4" w:rsidRPr="00396AC8">
        <w:rPr>
          <w:szCs w:val="24"/>
        </w:rPr>
        <w:t xml:space="preserve">It </w:t>
      </w:r>
      <w:r w:rsidRPr="00396AC8">
        <w:rPr>
          <w:szCs w:val="24"/>
        </w:rPr>
        <w:t>nevertheless we</w:t>
      </w:r>
      <w:r w:rsidR="007E63B4" w:rsidRPr="00396AC8">
        <w:rPr>
          <w:szCs w:val="24"/>
        </w:rPr>
        <w:t>nt</w:t>
      </w:r>
      <w:r w:rsidRPr="00396AC8">
        <w:rPr>
          <w:szCs w:val="24"/>
        </w:rPr>
        <w:t xml:space="preserve"> on to consider a second ground of appeal in which the authority argued that even if the notice of intent had failed to provide the required information, that would not have invalidated the whole of the procedure.</w:t>
      </w:r>
      <w:r w:rsidR="00EA4A89" w:rsidRPr="00396AC8">
        <w:rPr>
          <w:szCs w:val="24"/>
        </w:rPr>
        <w:t xml:space="preserve">  The authority relied on </w:t>
      </w:r>
      <w:r w:rsidR="00EA4A89" w:rsidRPr="00396AC8">
        <w:rPr>
          <w:i/>
          <w:iCs/>
          <w:szCs w:val="24"/>
        </w:rPr>
        <w:t>Nash v Birmingham Crown Court</w:t>
      </w:r>
      <w:r w:rsidR="00EA4A89" w:rsidRPr="00396AC8">
        <w:rPr>
          <w:szCs w:val="24"/>
        </w:rPr>
        <w:t xml:space="preserve"> [2005] EWHC 338 as demonstrating that even in a criminal prosecution for a regulatory offence, an information described by the Divisional Court as “wide and vague and insufficient for the purpose of a summons … did not render the proceedings a nullity or any resulting conviction unsafe, provided that the requisite information was given to the appellant in good time for her to be able fairly to meet the case against her.” The </w:t>
      </w:r>
      <w:r w:rsidR="00396AC8" w:rsidRPr="00396AC8">
        <w:rPr>
          <w:szCs w:val="24"/>
        </w:rPr>
        <w:t xml:space="preserve">Tribunal accepted that the </w:t>
      </w:r>
      <w:r w:rsidR="00EA4A89" w:rsidRPr="00396AC8">
        <w:rPr>
          <w:szCs w:val="24"/>
        </w:rPr>
        <w:t xml:space="preserve">same principle should apply to a </w:t>
      </w:r>
      <w:r w:rsidR="00396AC8" w:rsidRPr="00396AC8">
        <w:rPr>
          <w:szCs w:val="24"/>
        </w:rPr>
        <w:t>f</w:t>
      </w:r>
      <w:r w:rsidR="00EA4A89" w:rsidRPr="00396AC8">
        <w:rPr>
          <w:szCs w:val="24"/>
        </w:rPr>
        <w:t>i</w:t>
      </w:r>
      <w:r w:rsidR="00396AC8" w:rsidRPr="00396AC8">
        <w:rPr>
          <w:szCs w:val="24"/>
        </w:rPr>
        <w:t>nanc</w:t>
      </w:r>
      <w:r w:rsidR="00EA4A89" w:rsidRPr="00396AC8">
        <w:rPr>
          <w:szCs w:val="24"/>
        </w:rPr>
        <w:t>i</w:t>
      </w:r>
      <w:r w:rsidR="00396AC8" w:rsidRPr="00396AC8">
        <w:rPr>
          <w:szCs w:val="24"/>
        </w:rPr>
        <w:t>a</w:t>
      </w:r>
      <w:r w:rsidR="00EA4A89" w:rsidRPr="00396AC8">
        <w:rPr>
          <w:szCs w:val="24"/>
        </w:rPr>
        <w:t>l penalty</w:t>
      </w:r>
      <w:r w:rsidR="00396AC8" w:rsidRPr="00396AC8">
        <w:rPr>
          <w:szCs w:val="24"/>
        </w:rPr>
        <w:t xml:space="preserve"> imposed under section 249A, 2004 Act, and rejected the landlord’s submission that, in a notice of intent, a failure to include proper particulars of its reasons for proposing the penalty </w:t>
      </w:r>
      <w:r w:rsidR="00396AC8">
        <w:rPr>
          <w:szCs w:val="24"/>
        </w:rPr>
        <w:t>would always be fatal.  The Tribunal’s reasoning, at [73]-[74], was as follows:</w:t>
      </w:r>
    </w:p>
    <w:p w14:paraId="72DFEBBA" w14:textId="77777777" w:rsidR="00396AC8" w:rsidRDefault="00396AC8" w:rsidP="00396AC8">
      <w:pPr>
        <w:pStyle w:val="ListParagraph"/>
        <w:tabs>
          <w:tab w:val="left" w:pos="0"/>
        </w:tabs>
        <w:spacing w:after="360"/>
        <w:ind w:left="1134" w:right="567"/>
        <w:contextualSpacing w:val="0"/>
        <w:jc w:val="both"/>
        <w:rPr>
          <w:szCs w:val="24"/>
        </w:rPr>
      </w:pPr>
      <w:r>
        <w:rPr>
          <w:szCs w:val="24"/>
        </w:rPr>
        <w:t xml:space="preserve">“73. </w:t>
      </w:r>
      <w:r w:rsidRPr="00396AC8">
        <w:rPr>
          <w:szCs w:val="24"/>
        </w:rPr>
        <w:t xml:space="preserve">The purpose of a notice of intent is to inform the recipient of the reasons why the authority is contemplating the imposition of a financial penalty. The notice also performs the important function of limiting the scope of the subsequent procedure. But the notice of intent does not represent the last word on any issue. Not only does the recipient of the notice have the opportunity to respond to it, but the authority also has the obligation to think again before making a final decision. Once that decision has been conveyed in a final notice, the recipient has the right to appeal to the FTT, where they may rely on matters which were not known to the authority. </w:t>
      </w:r>
    </w:p>
    <w:p w14:paraId="57C1E7C0" w14:textId="79EC21F7" w:rsidR="00396AC8" w:rsidRDefault="00396AC8" w:rsidP="00396AC8">
      <w:pPr>
        <w:pStyle w:val="ListParagraph"/>
        <w:tabs>
          <w:tab w:val="left" w:pos="0"/>
        </w:tabs>
        <w:spacing w:after="360"/>
        <w:ind w:left="1134" w:right="567"/>
        <w:contextualSpacing w:val="0"/>
        <w:jc w:val="both"/>
        <w:rPr>
          <w:szCs w:val="24"/>
        </w:rPr>
      </w:pPr>
      <w:r w:rsidRPr="00396AC8">
        <w:rPr>
          <w:szCs w:val="24"/>
        </w:rPr>
        <w:t xml:space="preserve">74. Those characteristics of the statutory scheme suggest that the reasons given in a notice of intent should be clear enough to enable the recipient to respond, but they also suggest that if those reasons are unclear or ambiguous, Parliament would not have intended that the notice of intent should invariably be treated as a nullity. The seriousness of the offences for which civil penalties can be imposed, the relative shortness of the time available to a local authority to </w:t>
      </w:r>
      <w:proofErr w:type="gramStart"/>
      <w:r w:rsidRPr="00396AC8">
        <w:rPr>
          <w:szCs w:val="24"/>
        </w:rPr>
        <w:t>take action</w:t>
      </w:r>
      <w:proofErr w:type="gramEnd"/>
      <w:r w:rsidRPr="00396AC8">
        <w:rPr>
          <w:szCs w:val="24"/>
        </w:rPr>
        <w:t>, and the availability of a right of appeal on the merits before an independent tribunal, are all features of the statutory scheme which militate against the adoption of an excessively technical approach to procedural compliance.</w:t>
      </w:r>
    </w:p>
    <w:p w14:paraId="45824C04" w14:textId="506BB7DB" w:rsidR="005B259A" w:rsidRDefault="00EB7208" w:rsidP="005B259A">
      <w:pPr>
        <w:pStyle w:val="ListParagraph"/>
        <w:numPr>
          <w:ilvl w:val="0"/>
          <w:numId w:val="7"/>
        </w:numPr>
        <w:tabs>
          <w:tab w:val="left" w:pos="0"/>
        </w:tabs>
        <w:spacing w:after="360"/>
        <w:ind w:left="567" w:hanging="567"/>
        <w:contextualSpacing w:val="0"/>
        <w:jc w:val="both"/>
        <w:rPr>
          <w:szCs w:val="24"/>
        </w:rPr>
      </w:pPr>
      <w:r>
        <w:rPr>
          <w:szCs w:val="24"/>
        </w:rPr>
        <w:t>I</w:t>
      </w:r>
      <w:r w:rsidRPr="00EB7208">
        <w:rPr>
          <w:szCs w:val="24"/>
        </w:rPr>
        <w:t xml:space="preserve">n </w:t>
      </w:r>
      <w:r w:rsidRPr="00EB7208">
        <w:rPr>
          <w:i/>
          <w:iCs/>
          <w:szCs w:val="24"/>
        </w:rPr>
        <w:t>Younis</w:t>
      </w:r>
      <w:r w:rsidRPr="00EB7208">
        <w:rPr>
          <w:szCs w:val="24"/>
        </w:rPr>
        <w:t xml:space="preserve"> </w:t>
      </w:r>
      <w:r>
        <w:rPr>
          <w:szCs w:val="24"/>
        </w:rPr>
        <w:t>t</w:t>
      </w:r>
      <w:r w:rsidR="00396AC8">
        <w:rPr>
          <w:szCs w:val="24"/>
        </w:rPr>
        <w:t xml:space="preserve">he Tribunal did not say that </w:t>
      </w:r>
      <w:r w:rsidR="004C0348">
        <w:rPr>
          <w:szCs w:val="24"/>
        </w:rPr>
        <w:t xml:space="preserve">a </w:t>
      </w:r>
      <w:r w:rsidR="007B5238">
        <w:rPr>
          <w:szCs w:val="24"/>
        </w:rPr>
        <w:t xml:space="preserve">defective </w:t>
      </w:r>
      <w:r w:rsidR="004C0348">
        <w:rPr>
          <w:szCs w:val="24"/>
        </w:rPr>
        <w:t xml:space="preserve">notice of intent </w:t>
      </w:r>
      <w:r w:rsidR="007B5238">
        <w:rPr>
          <w:szCs w:val="24"/>
        </w:rPr>
        <w:t>c</w:t>
      </w:r>
      <w:r w:rsidR="004C0348">
        <w:rPr>
          <w:szCs w:val="24"/>
        </w:rPr>
        <w:t xml:space="preserve">ould always be </w:t>
      </w:r>
      <w:r w:rsidR="007B5238">
        <w:rPr>
          <w:szCs w:val="24"/>
        </w:rPr>
        <w:t xml:space="preserve">relied on </w:t>
      </w:r>
      <w:r w:rsidR="004C0348">
        <w:rPr>
          <w:szCs w:val="24"/>
        </w:rPr>
        <w:t xml:space="preserve">or that it would never be appropriate for the FTT to treat </w:t>
      </w:r>
      <w:r w:rsidR="007B5238">
        <w:rPr>
          <w:szCs w:val="24"/>
        </w:rPr>
        <w:t>it</w:t>
      </w:r>
      <w:r w:rsidR="004C0348">
        <w:rPr>
          <w:szCs w:val="24"/>
        </w:rPr>
        <w:t xml:space="preserve"> as a nullity</w:t>
      </w:r>
      <w:r w:rsidR="007B5238">
        <w:rPr>
          <w:szCs w:val="24"/>
        </w:rPr>
        <w:t>, requiring that</w:t>
      </w:r>
      <w:r w:rsidR="004C0348">
        <w:rPr>
          <w:szCs w:val="24"/>
        </w:rPr>
        <w:t xml:space="preserve"> a</w:t>
      </w:r>
      <w:r w:rsidR="007B5238">
        <w:rPr>
          <w:szCs w:val="24"/>
        </w:rPr>
        <w:t>ny</w:t>
      </w:r>
      <w:r w:rsidR="004C0348">
        <w:rPr>
          <w:szCs w:val="24"/>
        </w:rPr>
        <w:t xml:space="preserve"> penalty imposed in reliance on it</w:t>
      </w:r>
      <w:r w:rsidR="007B5238">
        <w:rPr>
          <w:szCs w:val="24"/>
        </w:rPr>
        <w:t xml:space="preserve"> be discharged</w:t>
      </w:r>
      <w:r w:rsidR="004C0348">
        <w:rPr>
          <w:szCs w:val="24"/>
        </w:rPr>
        <w:t xml:space="preserve">.  As the Divisional Court had ruled in </w:t>
      </w:r>
      <w:r w:rsidR="004C0348" w:rsidRPr="00B97F9F">
        <w:rPr>
          <w:i/>
          <w:iCs/>
          <w:szCs w:val="24"/>
        </w:rPr>
        <w:t>Nash</w:t>
      </w:r>
      <w:r w:rsidR="004C0348">
        <w:rPr>
          <w:szCs w:val="24"/>
        </w:rPr>
        <w:t>, t</w:t>
      </w:r>
      <w:r w:rsidR="004C0348" w:rsidRPr="004C0348">
        <w:rPr>
          <w:szCs w:val="24"/>
        </w:rPr>
        <w:t>he</w:t>
      </w:r>
      <w:r w:rsidR="004C0348">
        <w:rPr>
          <w:szCs w:val="24"/>
        </w:rPr>
        <w:t xml:space="preserve"> question in each case w</w:t>
      </w:r>
      <w:r w:rsidR="007B5238">
        <w:rPr>
          <w:szCs w:val="24"/>
        </w:rPr>
        <w:t>ill</w:t>
      </w:r>
      <w:r w:rsidR="004C0348">
        <w:rPr>
          <w:szCs w:val="24"/>
        </w:rPr>
        <w:t xml:space="preserve"> be whether “the requisite information was given to the appellant in good time for her to be able fairly to meet the case against her”.  </w:t>
      </w:r>
      <w:r w:rsidR="00396AC8">
        <w:rPr>
          <w:szCs w:val="24"/>
        </w:rPr>
        <w:t xml:space="preserve"> </w:t>
      </w:r>
      <w:r w:rsidR="007B5238">
        <w:rPr>
          <w:szCs w:val="24"/>
        </w:rPr>
        <w:t>A good illustration is provided by the next case i</w:t>
      </w:r>
      <w:r w:rsidR="007B5238" w:rsidRPr="007B5238">
        <w:rPr>
          <w:szCs w:val="24"/>
        </w:rPr>
        <w:t>n which the Tribunal had to consider the consequences of a defective notice of intent</w:t>
      </w:r>
      <w:r w:rsidR="007B5238">
        <w:rPr>
          <w:szCs w:val="24"/>
        </w:rPr>
        <w:t xml:space="preserve">, </w:t>
      </w:r>
      <w:r w:rsidR="007B5238">
        <w:rPr>
          <w:i/>
          <w:iCs/>
          <w:szCs w:val="24"/>
        </w:rPr>
        <w:t>Maharaj v Liverpool City Council</w:t>
      </w:r>
      <w:r w:rsidR="005B259A">
        <w:rPr>
          <w:i/>
          <w:iCs/>
          <w:szCs w:val="24"/>
        </w:rPr>
        <w:t xml:space="preserve"> </w:t>
      </w:r>
      <w:r w:rsidR="005B259A">
        <w:rPr>
          <w:szCs w:val="24"/>
        </w:rPr>
        <w:t>[2022] UKUT 140 (LC).</w:t>
      </w:r>
    </w:p>
    <w:p w14:paraId="43731950" w14:textId="33375A2B" w:rsidR="005B259A" w:rsidRDefault="005B259A" w:rsidP="005B259A">
      <w:pPr>
        <w:pStyle w:val="ListParagraph"/>
        <w:numPr>
          <w:ilvl w:val="0"/>
          <w:numId w:val="7"/>
        </w:numPr>
        <w:tabs>
          <w:tab w:val="left" w:pos="0"/>
        </w:tabs>
        <w:spacing w:after="360"/>
        <w:ind w:left="567" w:hanging="567"/>
        <w:contextualSpacing w:val="0"/>
        <w:jc w:val="both"/>
        <w:rPr>
          <w:szCs w:val="24"/>
        </w:rPr>
      </w:pPr>
      <w:r>
        <w:rPr>
          <w:szCs w:val="24"/>
        </w:rPr>
        <w:lastRenderedPageBreak/>
        <w:t xml:space="preserve">In </w:t>
      </w:r>
      <w:r>
        <w:rPr>
          <w:i/>
          <w:iCs/>
          <w:szCs w:val="24"/>
        </w:rPr>
        <w:t xml:space="preserve">Maharaj </w:t>
      </w:r>
      <w:r>
        <w:rPr>
          <w:szCs w:val="24"/>
        </w:rPr>
        <w:t xml:space="preserve">the Tribunal (HHJ Hodge KC) considered the extent to which particulars were required to be given in a notice of intent.  Both parties were represented by counsel, but the Tribunal was not referred to its earlier decision in </w:t>
      </w:r>
      <w:r>
        <w:rPr>
          <w:i/>
          <w:iCs/>
          <w:szCs w:val="24"/>
        </w:rPr>
        <w:t>Younis</w:t>
      </w:r>
      <w:r>
        <w:rPr>
          <w:szCs w:val="24"/>
        </w:rPr>
        <w:t xml:space="preserve">.  It has been suggested in this appeal that the approach to procedural compliance taken in </w:t>
      </w:r>
      <w:r>
        <w:rPr>
          <w:i/>
          <w:iCs/>
          <w:szCs w:val="24"/>
        </w:rPr>
        <w:t>Maharaj</w:t>
      </w:r>
      <w:r>
        <w:rPr>
          <w:szCs w:val="24"/>
        </w:rPr>
        <w:t xml:space="preserve"> is inconsistent with the approach taken in </w:t>
      </w:r>
      <w:r>
        <w:rPr>
          <w:i/>
          <w:iCs/>
          <w:szCs w:val="24"/>
        </w:rPr>
        <w:t xml:space="preserve">Younis.  </w:t>
      </w:r>
      <w:r>
        <w:rPr>
          <w:szCs w:val="24"/>
        </w:rPr>
        <w:t>On consideration, however, it is apparent that there is no such inconsistency.</w:t>
      </w:r>
    </w:p>
    <w:p w14:paraId="41203298" w14:textId="6D9302E3" w:rsidR="000663F5" w:rsidRDefault="006D5D54" w:rsidP="005B259A">
      <w:pPr>
        <w:pStyle w:val="ListParagraph"/>
        <w:numPr>
          <w:ilvl w:val="0"/>
          <w:numId w:val="7"/>
        </w:numPr>
        <w:tabs>
          <w:tab w:val="left" w:pos="0"/>
        </w:tabs>
        <w:spacing w:after="360"/>
        <w:ind w:left="567" w:hanging="567"/>
        <w:contextualSpacing w:val="0"/>
        <w:jc w:val="both"/>
        <w:rPr>
          <w:szCs w:val="24"/>
        </w:rPr>
      </w:pPr>
      <w:r>
        <w:rPr>
          <w:i/>
          <w:iCs/>
          <w:szCs w:val="24"/>
        </w:rPr>
        <w:t>Maharaj</w:t>
      </w:r>
      <w:r>
        <w:rPr>
          <w:szCs w:val="24"/>
        </w:rPr>
        <w:t xml:space="preserve"> concerned financial penalties imposed for breaches of a local housing authority’s selective licensing scheme.  </w:t>
      </w:r>
      <w:r w:rsidR="000663F5">
        <w:rPr>
          <w:szCs w:val="24"/>
        </w:rPr>
        <w:t>On</w:t>
      </w:r>
      <w:r>
        <w:rPr>
          <w:szCs w:val="24"/>
        </w:rPr>
        <w:t xml:space="preserve">e condition required the licence holder to provide a gas safety certificate to the authority annually, and </w:t>
      </w:r>
      <w:r w:rsidR="000663F5">
        <w:rPr>
          <w:szCs w:val="24"/>
        </w:rPr>
        <w:t xml:space="preserve">another required that he </w:t>
      </w:r>
      <w:r>
        <w:rPr>
          <w:szCs w:val="24"/>
        </w:rPr>
        <w:t>carry out inspections of the property every six months.</w:t>
      </w:r>
      <w:r w:rsidR="000663F5">
        <w:rPr>
          <w:szCs w:val="24"/>
        </w:rPr>
        <w:t xml:space="preserve">  Two notices of intent were served on the landlord</w:t>
      </w:r>
      <w:r w:rsidR="000663F5" w:rsidRPr="000663F5">
        <w:rPr>
          <w:szCs w:val="24"/>
        </w:rPr>
        <w:t xml:space="preserve"> by the authority</w:t>
      </w:r>
      <w:r w:rsidR="000663F5">
        <w:rPr>
          <w:szCs w:val="24"/>
        </w:rPr>
        <w:t>, the first alleging a breach of the gas safety certificate condition and the second a breach of the inspection condition.  The first suggested breach was that the landlord has failed to provide a</w:t>
      </w:r>
      <w:r w:rsidR="00100ED5">
        <w:rPr>
          <w:szCs w:val="24"/>
        </w:rPr>
        <w:t>n annual</w:t>
      </w:r>
      <w:r w:rsidR="000663F5">
        <w:rPr>
          <w:szCs w:val="24"/>
        </w:rPr>
        <w:t xml:space="preserve"> certificate </w:t>
      </w:r>
      <w:r w:rsidR="00100ED5">
        <w:rPr>
          <w:szCs w:val="24"/>
        </w:rPr>
        <w:t xml:space="preserve">in response to </w:t>
      </w:r>
      <w:r w:rsidR="000663F5">
        <w:rPr>
          <w:szCs w:val="24"/>
        </w:rPr>
        <w:t xml:space="preserve">a request </w:t>
      </w:r>
      <w:r w:rsidR="00D94A3B">
        <w:rPr>
          <w:szCs w:val="24"/>
        </w:rPr>
        <w:t xml:space="preserve">made </w:t>
      </w:r>
      <w:r w:rsidR="000663F5">
        <w:rPr>
          <w:szCs w:val="24"/>
        </w:rPr>
        <w:t>by the authority</w:t>
      </w:r>
      <w:r w:rsidR="00D94A3B">
        <w:rPr>
          <w:szCs w:val="24"/>
        </w:rPr>
        <w:t xml:space="preserve"> in June 2019</w:t>
      </w:r>
      <w:r w:rsidR="000663F5">
        <w:rPr>
          <w:szCs w:val="24"/>
        </w:rPr>
        <w:t xml:space="preserve">; the second was that records of inspections had not been supplied </w:t>
      </w:r>
      <w:r w:rsidR="00100ED5">
        <w:rPr>
          <w:szCs w:val="24"/>
        </w:rPr>
        <w:t>when</w:t>
      </w:r>
      <w:r w:rsidR="000663F5">
        <w:rPr>
          <w:szCs w:val="24"/>
        </w:rPr>
        <w:t xml:space="preserve"> request</w:t>
      </w:r>
      <w:r w:rsidR="00100ED5">
        <w:rPr>
          <w:szCs w:val="24"/>
        </w:rPr>
        <w:t>ed</w:t>
      </w:r>
      <w:r w:rsidR="00D94A3B">
        <w:rPr>
          <w:szCs w:val="24"/>
        </w:rPr>
        <w:t>, again in June 2019</w:t>
      </w:r>
      <w:r w:rsidR="000663F5">
        <w:rPr>
          <w:szCs w:val="24"/>
        </w:rPr>
        <w:t>.  Final notices relying on the same breaches were later issued and the landlord appealed to the FTT</w:t>
      </w:r>
      <w:r w:rsidR="00CE1E6A">
        <w:rPr>
          <w:szCs w:val="24"/>
        </w:rPr>
        <w:t xml:space="preserve"> unsuccessfully</w:t>
      </w:r>
      <w:r w:rsidR="000663F5">
        <w:rPr>
          <w:szCs w:val="24"/>
        </w:rPr>
        <w:t>.</w:t>
      </w:r>
      <w:r w:rsidR="00CE1E6A">
        <w:rPr>
          <w:szCs w:val="24"/>
        </w:rPr>
        <w:t xml:space="preserve">  He then appealed to this Tribunal.</w:t>
      </w:r>
    </w:p>
    <w:p w14:paraId="386D3049" w14:textId="3A2F63D6" w:rsidR="00D94A3B" w:rsidRDefault="00D94A3B" w:rsidP="005B259A">
      <w:pPr>
        <w:pStyle w:val="ListParagraph"/>
        <w:numPr>
          <w:ilvl w:val="0"/>
          <w:numId w:val="7"/>
        </w:numPr>
        <w:tabs>
          <w:tab w:val="left" w:pos="0"/>
        </w:tabs>
        <w:spacing w:after="360"/>
        <w:ind w:left="567" w:hanging="567"/>
        <w:contextualSpacing w:val="0"/>
        <w:jc w:val="both"/>
        <w:rPr>
          <w:szCs w:val="24"/>
        </w:rPr>
      </w:pPr>
      <w:r w:rsidRPr="00D94A3B">
        <w:rPr>
          <w:szCs w:val="24"/>
        </w:rPr>
        <w:t>The FTT had been satisfied that the landlord had committed a breach of the gas safety certificate condition</w:t>
      </w:r>
      <w:r>
        <w:rPr>
          <w:szCs w:val="24"/>
        </w:rPr>
        <w:t xml:space="preserve">, but </w:t>
      </w:r>
      <w:r w:rsidR="00100ED5">
        <w:rPr>
          <w:szCs w:val="24"/>
        </w:rPr>
        <w:t xml:space="preserve">it emerged when it was asked for permission to appeal that </w:t>
      </w:r>
      <w:r>
        <w:rPr>
          <w:szCs w:val="24"/>
        </w:rPr>
        <w:t xml:space="preserve">the breach </w:t>
      </w:r>
      <w:r w:rsidR="00100ED5">
        <w:rPr>
          <w:szCs w:val="24"/>
        </w:rPr>
        <w:t xml:space="preserve">it found </w:t>
      </w:r>
      <w:r>
        <w:rPr>
          <w:szCs w:val="24"/>
        </w:rPr>
        <w:t xml:space="preserve">was not the breach alleged in the notice of intent; the breach it found </w:t>
      </w:r>
      <w:r w:rsidR="00100ED5" w:rsidRPr="00100ED5">
        <w:rPr>
          <w:szCs w:val="24"/>
        </w:rPr>
        <w:t xml:space="preserve">established by the evidence </w:t>
      </w:r>
      <w:r>
        <w:rPr>
          <w:szCs w:val="24"/>
        </w:rPr>
        <w:t>was that the landlord had not supplied a certificate for the year to July 2018</w:t>
      </w:r>
      <w:r w:rsidR="005F4D7F">
        <w:rPr>
          <w:szCs w:val="24"/>
        </w:rPr>
        <w:t xml:space="preserve"> (a year earlier than had been suggested in the notice of intent)</w:t>
      </w:r>
      <w:r>
        <w:rPr>
          <w:szCs w:val="24"/>
        </w:rPr>
        <w:t xml:space="preserve">.  It </w:t>
      </w:r>
      <w:r w:rsidR="00100ED5">
        <w:rPr>
          <w:szCs w:val="24"/>
        </w:rPr>
        <w:t xml:space="preserve">nevertheless </w:t>
      </w:r>
      <w:r>
        <w:rPr>
          <w:szCs w:val="24"/>
        </w:rPr>
        <w:t>directed itself that it was not bound by the statement of reasons in the notice of intent or the final notice and was entitled to confirm the penalty if it was satisfied that there had been a breach, even if not the one described in the notices.</w:t>
      </w:r>
    </w:p>
    <w:p w14:paraId="7A251506" w14:textId="77777777" w:rsidR="004A3CD4" w:rsidRDefault="004A3CD4" w:rsidP="005B259A">
      <w:pPr>
        <w:pStyle w:val="ListParagraph"/>
        <w:numPr>
          <w:ilvl w:val="0"/>
          <w:numId w:val="7"/>
        </w:numPr>
        <w:tabs>
          <w:tab w:val="left" w:pos="0"/>
        </w:tabs>
        <w:spacing w:after="360"/>
        <w:ind w:left="567" w:hanging="567"/>
        <w:contextualSpacing w:val="0"/>
        <w:jc w:val="both"/>
        <w:rPr>
          <w:szCs w:val="24"/>
        </w:rPr>
      </w:pPr>
      <w:r>
        <w:rPr>
          <w:szCs w:val="24"/>
        </w:rPr>
        <w:t xml:space="preserve">The Tribunal allowed the landlord’s appeal.  It held that the FTT had not been entitled to find an offence proven which was different from the offence described in the notice of intent.  Contrary to the argument presented by the authority, the statement of reasons in the notice of intent was not simply “a factual background to the offence” but was required to provide “particulars of the offence”. </w:t>
      </w:r>
    </w:p>
    <w:p w14:paraId="2144A9C9" w14:textId="54DF1BE7" w:rsidR="004A3CD4" w:rsidRDefault="004A3CD4" w:rsidP="005B259A">
      <w:pPr>
        <w:pStyle w:val="ListParagraph"/>
        <w:numPr>
          <w:ilvl w:val="0"/>
          <w:numId w:val="7"/>
        </w:numPr>
        <w:tabs>
          <w:tab w:val="left" w:pos="0"/>
        </w:tabs>
        <w:spacing w:after="360"/>
        <w:ind w:left="567" w:hanging="567"/>
        <w:contextualSpacing w:val="0"/>
        <w:jc w:val="both"/>
        <w:rPr>
          <w:szCs w:val="24"/>
        </w:rPr>
      </w:pPr>
      <w:r>
        <w:rPr>
          <w:szCs w:val="24"/>
        </w:rPr>
        <w:t xml:space="preserve">In my judgment any differences in emphasis in the Tribunal’s two decisions </w:t>
      </w:r>
      <w:r w:rsidR="00EA16DF">
        <w:rPr>
          <w:szCs w:val="24"/>
        </w:rPr>
        <w:t>is</w:t>
      </w:r>
      <w:r>
        <w:rPr>
          <w:szCs w:val="24"/>
        </w:rPr>
        <w:t xml:space="preserve"> the result of the different facts and submissions with which it had to deal.  There is nothing in </w:t>
      </w:r>
      <w:r>
        <w:rPr>
          <w:i/>
          <w:iCs/>
          <w:szCs w:val="24"/>
        </w:rPr>
        <w:t xml:space="preserve">Maharaj </w:t>
      </w:r>
      <w:r>
        <w:rPr>
          <w:szCs w:val="24"/>
        </w:rPr>
        <w:t xml:space="preserve">which is inconsistent with my decision in </w:t>
      </w:r>
      <w:r>
        <w:rPr>
          <w:i/>
          <w:iCs/>
          <w:szCs w:val="24"/>
        </w:rPr>
        <w:t>Younis</w:t>
      </w:r>
      <w:r>
        <w:rPr>
          <w:szCs w:val="24"/>
        </w:rPr>
        <w:t>.  Thus, I agree with the Tribunal’s explanation of the purpose of the notices and what they should contain, at [17]:</w:t>
      </w:r>
    </w:p>
    <w:p w14:paraId="40BD98CD" w14:textId="06EAB163" w:rsidR="004A3CD4" w:rsidRDefault="004A3CD4" w:rsidP="004A3CD4">
      <w:pPr>
        <w:pStyle w:val="ListParagraph"/>
        <w:tabs>
          <w:tab w:val="left" w:pos="0"/>
        </w:tabs>
        <w:spacing w:after="360"/>
        <w:ind w:left="1134" w:right="567"/>
        <w:contextualSpacing w:val="0"/>
        <w:jc w:val="both"/>
        <w:rPr>
          <w:szCs w:val="24"/>
        </w:rPr>
      </w:pPr>
      <w:r>
        <w:rPr>
          <w:szCs w:val="24"/>
        </w:rPr>
        <w:t>“</w:t>
      </w:r>
      <w:r w:rsidRPr="004A3CD4">
        <w:rPr>
          <w:szCs w:val="24"/>
        </w:rPr>
        <w:t xml:space="preserve">By paragraph 3(a) of Schedule 13A, the notice of intent must set out “the reasons for proposing to impose the financial penalty”. Those reasons must be sufficiently clearly and accurately expressed to enable the recipient landlord to exercise the right conferred by paragraph 4 to “make written representations to the local housing authority about the proposal to impose a financial penalty”, thereby enabling it to decide whether to impose a financial penalty on the landlord and, if so, the amount of such penalty (as required by paragraph 5). Similarly, by paragraph 8(b) of schedule 13A, the final notice must set out “the reasons for imposing the penalty”. These too must be sufficiently clearly and accurately expressed to enable the recipient landlord to decide whether to exercise the right of appeal to the FTT conferred by paragraph 10 against the </w:t>
      </w:r>
      <w:r w:rsidRPr="004A3CD4">
        <w:rPr>
          <w:szCs w:val="24"/>
        </w:rPr>
        <w:lastRenderedPageBreak/>
        <w:t>decision to impose the penalty or the amount of that penalty. In the Tribunal’s judgment, those reasons must be directly referable to the condition of the licence in relation to which it is said that there has been a failure to comply on the part of the landlord; and those reasons must identify clearly, and accurately, the particular respects in which it is said that there has been non-compliance on the landlord’s part.</w:t>
      </w:r>
      <w:r>
        <w:rPr>
          <w:szCs w:val="24"/>
        </w:rPr>
        <w:t>”</w:t>
      </w:r>
    </w:p>
    <w:p w14:paraId="1FBE445A" w14:textId="08CD6F7E" w:rsidR="00073480" w:rsidRDefault="00073480" w:rsidP="005B259A">
      <w:pPr>
        <w:pStyle w:val="ListParagraph"/>
        <w:numPr>
          <w:ilvl w:val="0"/>
          <w:numId w:val="7"/>
        </w:numPr>
        <w:tabs>
          <w:tab w:val="left" w:pos="0"/>
        </w:tabs>
        <w:spacing w:after="360"/>
        <w:ind w:left="567" w:hanging="567"/>
        <w:contextualSpacing w:val="0"/>
        <w:jc w:val="both"/>
        <w:rPr>
          <w:szCs w:val="24"/>
        </w:rPr>
      </w:pPr>
      <w:r>
        <w:rPr>
          <w:szCs w:val="24"/>
        </w:rPr>
        <w:t>I also agree with the Tribunal’s reminder to local housing authorities of the seriousness of their responsibilities, at [18]:</w:t>
      </w:r>
    </w:p>
    <w:p w14:paraId="780075A3" w14:textId="6D684213" w:rsidR="00073480" w:rsidRDefault="00073480" w:rsidP="00073480">
      <w:pPr>
        <w:pStyle w:val="ListParagraph"/>
        <w:tabs>
          <w:tab w:val="left" w:pos="0"/>
        </w:tabs>
        <w:spacing w:after="360"/>
        <w:ind w:left="1134" w:right="567"/>
        <w:contextualSpacing w:val="0"/>
        <w:jc w:val="both"/>
        <w:rPr>
          <w:szCs w:val="24"/>
        </w:rPr>
      </w:pPr>
      <w:r>
        <w:rPr>
          <w:szCs w:val="24"/>
        </w:rPr>
        <w:t>“</w:t>
      </w:r>
      <w:r w:rsidRPr="00073480">
        <w:rPr>
          <w:szCs w:val="24"/>
        </w:rPr>
        <w:t>Local housing authorities must bear firmly in mind that the imposition of a financial penalty is an alternative to a criminal prosecution; and it must be treated with the same level of seriousness and transparency</w:t>
      </w:r>
      <w:r>
        <w:rPr>
          <w:szCs w:val="24"/>
        </w:rPr>
        <w:t>.”</w:t>
      </w:r>
    </w:p>
    <w:p w14:paraId="3A686DA3" w14:textId="3A82150F" w:rsidR="005F4D7F" w:rsidRPr="005A3C20" w:rsidRDefault="00073480" w:rsidP="00144455">
      <w:pPr>
        <w:pStyle w:val="ListParagraph"/>
        <w:numPr>
          <w:ilvl w:val="0"/>
          <w:numId w:val="7"/>
        </w:numPr>
        <w:tabs>
          <w:tab w:val="left" w:pos="0"/>
        </w:tabs>
        <w:spacing w:after="360"/>
        <w:ind w:left="567" w:hanging="567"/>
        <w:contextualSpacing w:val="0"/>
        <w:jc w:val="both"/>
        <w:rPr>
          <w:szCs w:val="24"/>
        </w:rPr>
      </w:pPr>
      <w:r w:rsidRPr="005A3C20">
        <w:rPr>
          <w:szCs w:val="24"/>
        </w:rPr>
        <w:t xml:space="preserve">In </w:t>
      </w:r>
      <w:r w:rsidRPr="005A3C20">
        <w:rPr>
          <w:i/>
          <w:iCs/>
          <w:szCs w:val="24"/>
        </w:rPr>
        <w:t>Maharaj</w:t>
      </w:r>
      <w:r w:rsidRPr="005A3C20">
        <w:rPr>
          <w:szCs w:val="24"/>
        </w:rPr>
        <w:t xml:space="preserve"> the Tribunal was not asked to consider whether the notice of intent could be salvaged, notwithstanding its deficiencies.  </w:t>
      </w:r>
      <w:r w:rsidR="00EA16DF">
        <w:rPr>
          <w:szCs w:val="24"/>
        </w:rPr>
        <w:t>N</w:t>
      </w:r>
      <w:r w:rsidR="00EA16DF" w:rsidRPr="00EA16DF">
        <w:rPr>
          <w:szCs w:val="24"/>
        </w:rPr>
        <w:t xml:space="preserve">o submissions were made that a defective notice of intent could be relied on to support a financial penalty </w:t>
      </w:r>
      <w:r w:rsidR="00EA16DF">
        <w:rPr>
          <w:szCs w:val="24"/>
        </w:rPr>
        <w:t>and the Tribunal</w:t>
      </w:r>
      <w:r w:rsidRPr="005A3C20">
        <w:rPr>
          <w:szCs w:val="24"/>
        </w:rPr>
        <w:t xml:space="preserve"> was not referred either to </w:t>
      </w:r>
      <w:r w:rsidRPr="005A3C20">
        <w:rPr>
          <w:i/>
          <w:iCs/>
          <w:szCs w:val="24"/>
        </w:rPr>
        <w:t>Younis</w:t>
      </w:r>
      <w:r w:rsidRPr="005A3C20">
        <w:rPr>
          <w:szCs w:val="24"/>
        </w:rPr>
        <w:t xml:space="preserve"> or to the </w:t>
      </w:r>
      <w:proofErr w:type="spellStart"/>
      <w:r w:rsidRPr="005A3C20">
        <w:rPr>
          <w:i/>
          <w:iCs/>
          <w:szCs w:val="24"/>
        </w:rPr>
        <w:t>Jeyanthean</w:t>
      </w:r>
      <w:proofErr w:type="spellEnd"/>
      <w:r w:rsidRPr="005A3C20">
        <w:rPr>
          <w:i/>
          <w:iCs/>
          <w:szCs w:val="24"/>
        </w:rPr>
        <w:t xml:space="preserve"> </w:t>
      </w:r>
      <w:r w:rsidRPr="005A3C20">
        <w:rPr>
          <w:szCs w:val="24"/>
        </w:rPr>
        <w:t xml:space="preserve">line of authorities.  There are at least two reasons why such an argument would have been bound to fail in </w:t>
      </w:r>
      <w:r w:rsidRPr="005A3C20">
        <w:rPr>
          <w:i/>
          <w:iCs/>
          <w:szCs w:val="24"/>
        </w:rPr>
        <w:t>Maharaj</w:t>
      </w:r>
      <w:r w:rsidRPr="005A3C20">
        <w:rPr>
          <w:szCs w:val="24"/>
        </w:rPr>
        <w:t xml:space="preserve">, which may explain why it was not relied on.  </w:t>
      </w:r>
    </w:p>
    <w:p w14:paraId="4545D58E" w14:textId="4DD6FF84" w:rsidR="005F4D7F" w:rsidRPr="005A3C20" w:rsidRDefault="00073480" w:rsidP="00144455">
      <w:pPr>
        <w:pStyle w:val="ListParagraph"/>
        <w:numPr>
          <w:ilvl w:val="0"/>
          <w:numId w:val="7"/>
        </w:numPr>
        <w:tabs>
          <w:tab w:val="left" w:pos="0"/>
        </w:tabs>
        <w:spacing w:after="360"/>
        <w:ind w:left="567" w:hanging="567"/>
        <w:contextualSpacing w:val="0"/>
        <w:jc w:val="both"/>
        <w:rPr>
          <w:szCs w:val="24"/>
        </w:rPr>
      </w:pPr>
      <w:r w:rsidRPr="005A3C20">
        <w:rPr>
          <w:szCs w:val="24"/>
        </w:rPr>
        <w:t xml:space="preserve">The first is that the </w:t>
      </w:r>
      <w:r w:rsidR="005F4D7F" w:rsidRPr="005A3C20">
        <w:rPr>
          <w:szCs w:val="24"/>
        </w:rPr>
        <w:t xml:space="preserve">notice of intent was specific about the offence which was being alleged and the facts which were to be relied on to make out the offence (although, in the event, the case put to the landlord in cross examination was based on different facts).  In other words, </w:t>
      </w:r>
      <w:r w:rsidR="005F4D7F" w:rsidRPr="005A3C20">
        <w:rPr>
          <w:i/>
          <w:iCs/>
          <w:szCs w:val="24"/>
        </w:rPr>
        <w:t>Maharaj</w:t>
      </w:r>
      <w:r w:rsidR="005F4D7F" w:rsidRPr="005A3C20">
        <w:rPr>
          <w:szCs w:val="24"/>
        </w:rPr>
        <w:t xml:space="preserve"> did not concern an incomplete or ambiguous statement of reasons; it concerned allegations which were not then supported by evidence, and a </w:t>
      </w:r>
      <w:r w:rsidR="00EA16DF">
        <w:rPr>
          <w:szCs w:val="24"/>
        </w:rPr>
        <w:t xml:space="preserve">penalty imposed for </w:t>
      </w:r>
      <w:r w:rsidR="005F4D7F" w:rsidRPr="005A3C20">
        <w:rPr>
          <w:szCs w:val="24"/>
        </w:rPr>
        <w:t xml:space="preserve">an offence which </w:t>
      </w:r>
      <w:r w:rsidR="00EA16DF">
        <w:rPr>
          <w:szCs w:val="24"/>
        </w:rPr>
        <w:t>was</w:t>
      </w:r>
      <w:r w:rsidR="005F4D7F" w:rsidRPr="005A3C20">
        <w:rPr>
          <w:szCs w:val="24"/>
        </w:rPr>
        <w:t xml:space="preserve"> not the offence described in the </w:t>
      </w:r>
      <w:r w:rsidR="00EA16DF">
        <w:rPr>
          <w:szCs w:val="24"/>
        </w:rPr>
        <w:t xml:space="preserve">relevant </w:t>
      </w:r>
      <w:r w:rsidR="005F4D7F" w:rsidRPr="005A3C20">
        <w:rPr>
          <w:szCs w:val="24"/>
        </w:rPr>
        <w:t xml:space="preserve">notices.  </w:t>
      </w:r>
    </w:p>
    <w:p w14:paraId="382D5911" w14:textId="4C154DB5" w:rsidR="005F4D7F" w:rsidRPr="005A3C20" w:rsidRDefault="005F4D7F" w:rsidP="00144455">
      <w:pPr>
        <w:pStyle w:val="ListParagraph"/>
        <w:numPr>
          <w:ilvl w:val="0"/>
          <w:numId w:val="7"/>
        </w:numPr>
        <w:tabs>
          <w:tab w:val="left" w:pos="0"/>
        </w:tabs>
        <w:spacing w:after="360"/>
        <w:ind w:left="567" w:hanging="567"/>
        <w:contextualSpacing w:val="0"/>
        <w:jc w:val="both"/>
        <w:rPr>
          <w:szCs w:val="24"/>
        </w:rPr>
      </w:pPr>
      <w:r w:rsidRPr="005A3C20">
        <w:rPr>
          <w:szCs w:val="24"/>
        </w:rPr>
        <w:t xml:space="preserve">The second, and perhaps more fundamental reason why it could not have been suggested on appeal in </w:t>
      </w:r>
      <w:r w:rsidRPr="005A3C20">
        <w:rPr>
          <w:i/>
          <w:iCs/>
          <w:szCs w:val="24"/>
        </w:rPr>
        <w:t xml:space="preserve">Maharaj </w:t>
      </w:r>
      <w:r w:rsidRPr="005A3C20">
        <w:rPr>
          <w:szCs w:val="24"/>
        </w:rPr>
        <w:t xml:space="preserve">that </w:t>
      </w:r>
      <w:r w:rsidR="00355A07" w:rsidRPr="005A3C20">
        <w:rPr>
          <w:szCs w:val="24"/>
        </w:rPr>
        <w:t xml:space="preserve">a benign approach to the </w:t>
      </w:r>
      <w:r w:rsidR="005A3C20">
        <w:rPr>
          <w:szCs w:val="24"/>
        </w:rPr>
        <w:t xml:space="preserve">defective </w:t>
      </w:r>
      <w:r w:rsidR="00355A07" w:rsidRPr="005A3C20">
        <w:rPr>
          <w:szCs w:val="24"/>
        </w:rPr>
        <w:t xml:space="preserve">notice of intent </w:t>
      </w:r>
      <w:r w:rsidR="005A3C20">
        <w:rPr>
          <w:szCs w:val="24"/>
        </w:rPr>
        <w:t xml:space="preserve">might allow </w:t>
      </w:r>
      <w:r w:rsidRPr="005A3C20">
        <w:rPr>
          <w:szCs w:val="24"/>
        </w:rPr>
        <w:t xml:space="preserve">the penalty </w:t>
      </w:r>
      <w:r w:rsidR="005A3C20">
        <w:rPr>
          <w:szCs w:val="24"/>
        </w:rPr>
        <w:t>t</w:t>
      </w:r>
      <w:r w:rsidRPr="005A3C20">
        <w:rPr>
          <w:szCs w:val="24"/>
        </w:rPr>
        <w:t>o be upheld, is that the offence which the FTT found to have been committed was based on facts of which t</w:t>
      </w:r>
      <w:r w:rsidR="00355A07" w:rsidRPr="005A3C20">
        <w:rPr>
          <w:szCs w:val="24"/>
        </w:rPr>
        <w:t>he auth</w:t>
      </w:r>
      <w:r w:rsidR="005A3C20" w:rsidRPr="005A3C20">
        <w:rPr>
          <w:szCs w:val="24"/>
        </w:rPr>
        <w:t>o</w:t>
      </w:r>
      <w:r w:rsidR="00355A07" w:rsidRPr="005A3C20">
        <w:rPr>
          <w:szCs w:val="24"/>
        </w:rPr>
        <w:t>rity</w:t>
      </w:r>
      <w:r w:rsidRPr="005A3C20">
        <w:rPr>
          <w:szCs w:val="24"/>
        </w:rPr>
        <w:t xml:space="preserve"> had knowledge more than six months before it served the notice of intent.  In other words, the only offence </w:t>
      </w:r>
      <w:r w:rsidR="006E08D0" w:rsidRPr="005A3C20">
        <w:rPr>
          <w:szCs w:val="24"/>
        </w:rPr>
        <w:t xml:space="preserve">the landlord was found by the FTT to have committed was time barred </w:t>
      </w:r>
      <w:r w:rsidR="00355A07" w:rsidRPr="005A3C20">
        <w:rPr>
          <w:szCs w:val="24"/>
        </w:rPr>
        <w:t xml:space="preserve">when </w:t>
      </w:r>
      <w:r w:rsidR="006E08D0" w:rsidRPr="005A3C20">
        <w:rPr>
          <w:szCs w:val="24"/>
        </w:rPr>
        <w:t>the notice of intent was served</w:t>
      </w:r>
      <w:r w:rsidR="005A3C20">
        <w:rPr>
          <w:szCs w:val="24"/>
        </w:rPr>
        <w:t xml:space="preserve"> (see </w:t>
      </w:r>
      <w:r w:rsidR="005A3C20">
        <w:rPr>
          <w:i/>
          <w:iCs/>
          <w:szCs w:val="24"/>
        </w:rPr>
        <w:t>Maharaj</w:t>
      </w:r>
      <w:r w:rsidR="005A3C20">
        <w:rPr>
          <w:szCs w:val="24"/>
        </w:rPr>
        <w:t>, at [18])</w:t>
      </w:r>
      <w:r w:rsidR="006E08D0" w:rsidRPr="005A3C20">
        <w:rPr>
          <w:szCs w:val="24"/>
        </w:rPr>
        <w:t>.  No argument based on the approach to procedural defects illustrated by</w:t>
      </w:r>
      <w:r w:rsidR="006E08D0" w:rsidRPr="005A3C20">
        <w:rPr>
          <w:i/>
          <w:iCs/>
          <w:szCs w:val="24"/>
        </w:rPr>
        <w:t xml:space="preserve"> Jeyeanthan </w:t>
      </w:r>
      <w:r w:rsidR="006E08D0" w:rsidRPr="005A3C20">
        <w:rPr>
          <w:szCs w:val="24"/>
        </w:rPr>
        <w:t xml:space="preserve">could have saved the </w:t>
      </w:r>
      <w:r w:rsidR="00355A07" w:rsidRPr="005A3C20">
        <w:rPr>
          <w:szCs w:val="24"/>
        </w:rPr>
        <w:t xml:space="preserve">proceedings in those circumstances. </w:t>
      </w:r>
      <w:r w:rsidR="006E08D0" w:rsidRPr="005A3C20">
        <w:rPr>
          <w:szCs w:val="24"/>
        </w:rPr>
        <w:t xml:space="preserve"> </w:t>
      </w:r>
      <w:r w:rsidRPr="005A3C20">
        <w:rPr>
          <w:szCs w:val="24"/>
        </w:rPr>
        <w:t xml:space="preserve"> </w:t>
      </w:r>
    </w:p>
    <w:p w14:paraId="51D0E12F" w14:textId="2EA36BCB" w:rsidR="005A3C20" w:rsidRPr="005A3C20" w:rsidRDefault="005A3C20" w:rsidP="00144455">
      <w:pPr>
        <w:pStyle w:val="ListParagraph"/>
        <w:numPr>
          <w:ilvl w:val="0"/>
          <w:numId w:val="7"/>
        </w:numPr>
        <w:tabs>
          <w:tab w:val="left" w:pos="0"/>
        </w:tabs>
        <w:spacing w:after="360"/>
        <w:ind w:left="567" w:hanging="567"/>
        <w:contextualSpacing w:val="0"/>
        <w:jc w:val="both"/>
        <w:rPr>
          <w:szCs w:val="24"/>
        </w:rPr>
      </w:pPr>
      <w:r>
        <w:rPr>
          <w:szCs w:val="24"/>
        </w:rPr>
        <w:t>Having set the scene for the issues in this appeal, I can now return to the facts.</w:t>
      </w:r>
    </w:p>
    <w:p w14:paraId="4B2FE7DB" w14:textId="1BEB97DA" w:rsidR="000A2718" w:rsidRPr="005A3C20" w:rsidRDefault="000A2718" w:rsidP="005F4D7F">
      <w:pPr>
        <w:tabs>
          <w:tab w:val="left" w:pos="0"/>
        </w:tabs>
        <w:spacing w:after="360"/>
        <w:jc w:val="both"/>
        <w:rPr>
          <w:b/>
          <w:bCs/>
          <w:szCs w:val="24"/>
        </w:rPr>
      </w:pPr>
      <w:r w:rsidRPr="005A3C20">
        <w:rPr>
          <w:b/>
          <w:bCs/>
          <w:szCs w:val="24"/>
        </w:rPr>
        <w:t>The facts</w:t>
      </w:r>
    </w:p>
    <w:p w14:paraId="3958B128" w14:textId="68530207" w:rsidR="000A2718" w:rsidRDefault="000A2718" w:rsidP="00F87309">
      <w:pPr>
        <w:pStyle w:val="ListParagraph"/>
        <w:numPr>
          <w:ilvl w:val="0"/>
          <w:numId w:val="7"/>
        </w:numPr>
        <w:tabs>
          <w:tab w:val="left" w:pos="0"/>
        </w:tabs>
        <w:spacing w:after="360"/>
        <w:ind w:left="567" w:hanging="567"/>
        <w:contextualSpacing w:val="0"/>
        <w:jc w:val="both"/>
        <w:rPr>
          <w:szCs w:val="24"/>
        </w:rPr>
      </w:pPr>
      <w:r>
        <w:rPr>
          <w:szCs w:val="24"/>
        </w:rPr>
        <w:t xml:space="preserve">132 Aldykes in Hatfield is a two-storey detached house with a kitchen and two other rooms on the ground floor and a bathroom and three </w:t>
      </w:r>
      <w:r w:rsidR="00F87309">
        <w:rPr>
          <w:szCs w:val="24"/>
        </w:rPr>
        <w:t>bed</w:t>
      </w:r>
      <w:r>
        <w:rPr>
          <w:szCs w:val="24"/>
        </w:rPr>
        <w:t>rooms on the first floor.  It has been owned by the respondent and her husband since 2010</w:t>
      </w:r>
      <w:r w:rsidR="00F87309">
        <w:rPr>
          <w:szCs w:val="24"/>
        </w:rPr>
        <w:t>.  Each of the rooms in the house is</w:t>
      </w:r>
      <w:r>
        <w:rPr>
          <w:szCs w:val="24"/>
        </w:rPr>
        <w:t xml:space="preserve"> let to </w:t>
      </w:r>
      <w:r w:rsidR="00F87309">
        <w:rPr>
          <w:szCs w:val="24"/>
        </w:rPr>
        <w:t xml:space="preserve">separate </w:t>
      </w:r>
      <w:r>
        <w:rPr>
          <w:szCs w:val="24"/>
        </w:rPr>
        <w:t>individual</w:t>
      </w:r>
      <w:r w:rsidR="003B6ED1">
        <w:rPr>
          <w:szCs w:val="24"/>
        </w:rPr>
        <w:t>s who share the kitchen and bathroom</w:t>
      </w:r>
      <w:r w:rsidR="005A3C20">
        <w:rPr>
          <w:szCs w:val="24"/>
        </w:rPr>
        <w:t xml:space="preserve">; </w:t>
      </w:r>
      <w:r w:rsidR="003B6ED1">
        <w:rPr>
          <w:szCs w:val="24"/>
        </w:rPr>
        <w:t>the house is therefore an HMO.  S</w:t>
      </w:r>
      <w:r>
        <w:rPr>
          <w:szCs w:val="24"/>
        </w:rPr>
        <w:t xml:space="preserve">ince 1 October 2018 </w:t>
      </w:r>
      <w:r w:rsidR="005A3C20">
        <w:rPr>
          <w:szCs w:val="24"/>
        </w:rPr>
        <w:t xml:space="preserve">it </w:t>
      </w:r>
      <w:r>
        <w:rPr>
          <w:szCs w:val="24"/>
        </w:rPr>
        <w:t>ha</w:t>
      </w:r>
      <w:r w:rsidR="005A3C20">
        <w:rPr>
          <w:szCs w:val="24"/>
        </w:rPr>
        <w:t>s</w:t>
      </w:r>
      <w:r>
        <w:rPr>
          <w:szCs w:val="24"/>
        </w:rPr>
        <w:t xml:space="preserve"> been subject to mandatory licensing </w:t>
      </w:r>
      <w:r w:rsidR="003B6ED1">
        <w:rPr>
          <w:szCs w:val="24"/>
        </w:rPr>
        <w:t>u</w:t>
      </w:r>
      <w:r>
        <w:rPr>
          <w:szCs w:val="24"/>
        </w:rPr>
        <w:t xml:space="preserve">nder </w:t>
      </w:r>
      <w:r w:rsidR="003B6ED1">
        <w:rPr>
          <w:szCs w:val="24"/>
        </w:rPr>
        <w:t>P</w:t>
      </w:r>
      <w:r>
        <w:rPr>
          <w:szCs w:val="24"/>
        </w:rPr>
        <w:t>art 2, 2004 Act.</w:t>
      </w:r>
    </w:p>
    <w:p w14:paraId="4F101A83" w14:textId="2B6EC681" w:rsidR="000A2718" w:rsidRDefault="000A2718" w:rsidP="00417C8C">
      <w:pPr>
        <w:pStyle w:val="ListParagraph"/>
        <w:numPr>
          <w:ilvl w:val="0"/>
          <w:numId w:val="7"/>
        </w:numPr>
        <w:tabs>
          <w:tab w:val="left" w:pos="0"/>
        </w:tabs>
        <w:spacing w:after="360"/>
        <w:ind w:left="567" w:hanging="567"/>
        <w:contextualSpacing w:val="0"/>
        <w:jc w:val="both"/>
        <w:rPr>
          <w:szCs w:val="24"/>
        </w:rPr>
      </w:pPr>
      <w:r>
        <w:rPr>
          <w:szCs w:val="24"/>
        </w:rPr>
        <w:lastRenderedPageBreak/>
        <w:t xml:space="preserve">In </w:t>
      </w:r>
      <w:r w:rsidR="00640B98">
        <w:rPr>
          <w:szCs w:val="24"/>
        </w:rPr>
        <w:t>August 2019</w:t>
      </w:r>
      <w:r w:rsidR="003B6ED1">
        <w:rPr>
          <w:szCs w:val="24"/>
        </w:rPr>
        <w:t>,</w:t>
      </w:r>
      <w:r>
        <w:rPr>
          <w:szCs w:val="24"/>
        </w:rPr>
        <w:t xml:space="preserve"> after carrying out works required by the </w:t>
      </w:r>
      <w:r w:rsidR="007F7743">
        <w:rPr>
          <w:szCs w:val="24"/>
        </w:rPr>
        <w:t>Council</w:t>
      </w:r>
      <w:r>
        <w:rPr>
          <w:szCs w:val="24"/>
        </w:rPr>
        <w:t xml:space="preserve">, </w:t>
      </w:r>
      <w:r w:rsidR="003B6ED1">
        <w:rPr>
          <w:szCs w:val="24"/>
        </w:rPr>
        <w:t>t</w:t>
      </w:r>
      <w:r>
        <w:rPr>
          <w:szCs w:val="24"/>
        </w:rPr>
        <w:t>he</w:t>
      </w:r>
      <w:r w:rsidR="003B6ED1">
        <w:rPr>
          <w:szCs w:val="24"/>
        </w:rPr>
        <w:t xml:space="preserve"> respondent</w:t>
      </w:r>
      <w:r>
        <w:rPr>
          <w:szCs w:val="24"/>
        </w:rPr>
        <w:t xml:space="preserve"> was granted a</w:t>
      </w:r>
      <w:r w:rsidR="003B6ED1">
        <w:rPr>
          <w:szCs w:val="24"/>
        </w:rPr>
        <w:t>n HMO</w:t>
      </w:r>
      <w:r>
        <w:rPr>
          <w:szCs w:val="24"/>
        </w:rPr>
        <w:t xml:space="preserve"> licence</w:t>
      </w:r>
      <w:r w:rsidR="00640B98">
        <w:rPr>
          <w:szCs w:val="24"/>
        </w:rPr>
        <w:t xml:space="preserve"> with effect from 1 October 2018,</w:t>
      </w:r>
      <w:r>
        <w:rPr>
          <w:szCs w:val="24"/>
        </w:rPr>
        <w:t xml:space="preserve"> for a term of 5 year</w:t>
      </w:r>
      <w:r w:rsidR="00EF681A">
        <w:rPr>
          <w:szCs w:val="24"/>
        </w:rPr>
        <w:t>s</w:t>
      </w:r>
      <w:r w:rsidR="003B6ED1">
        <w:rPr>
          <w:szCs w:val="24"/>
        </w:rPr>
        <w:t>.</w:t>
      </w:r>
      <w:r>
        <w:rPr>
          <w:szCs w:val="24"/>
        </w:rPr>
        <w:t xml:space="preserve">  The licence authorised the occupation of the </w:t>
      </w:r>
      <w:r w:rsidR="005A3C20">
        <w:rPr>
          <w:szCs w:val="24"/>
        </w:rPr>
        <w:t>property</w:t>
      </w:r>
      <w:r>
        <w:rPr>
          <w:szCs w:val="24"/>
        </w:rPr>
        <w:t xml:space="preserve"> by up to </w:t>
      </w:r>
      <w:r w:rsidR="003B6ED1">
        <w:rPr>
          <w:szCs w:val="24"/>
        </w:rPr>
        <w:t>five</w:t>
      </w:r>
      <w:r>
        <w:rPr>
          <w:szCs w:val="24"/>
        </w:rPr>
        <w:t xml:space="preserve"> pe</w:t>
      </w:r>
      <w:r w:rsidR="003B6ED1">
        <w:rPr>
          <w:szCs w:val="24"/>
        </w:rPr>
        <w:t>ople</w:t>
      </w:r>
      <w:r>
        <w:rPr>
          <w:szCs w:val="24"/>
        </w:rPr>
        <w:t xml:space="preserve"> in five separate household</w:t>
      </w:r>
      <w:r w:rsidR="00EF681A">
        <w:rPr>
          <w:szCs w:val="24"/>
        </w:rPr>
        <w:t>s</w:t>
      </w:r>
      <w:r w:rsidR="003B6ED1">
        <w:rPr>
          <w:szCs w:val="24"/>
        </w:rPr>
        <w:t xml:space="preserve"> and identified the respondent as the manager and owner.</w:t>
      </w:r>
    </w:p>
    <w:p w14:paraId="7F869F3E" w14:textId="53C20579" w:rsidR="000A2718" w:rsidRDefault="000A2718" w:rsidP="00417C8C">
      <w:pPr>
        <w:pStyle w:val="ListParagraph"/>
        <w:numPr>
          <w:ilvl w:val="0"/>
          <w:numId w:val="7"/>
        </w:numPr>
        <w:tabs>
          <w:tab w:val="left" w:pos="0"/>
        </w:tabs>
        <w:spacing w:after="360"/>
        <w:ind w:left="567" w:hanging="567"/>
        <w:contextualSpacing w:val="0"/>
        <w:jc w:val="both"/>
        <w:rPr>
          <w:szCs w:val="24"/>
        </w:rPr>
      </w:pPr>
      <w:r>
        <w:rPr>
          <w:szCs w:val="24"/>
        </w:rPr>
        <w:t xml:space="preserve">It is the </w:t>
      </w:r>
      <w:r w:rsidR="007F7743">
        <w:rPr>
          <w:szCs w:val="24"/>
        </w:rPr>
        <w:t>Council</w:t>
      </w:r>
      <w:r>
        <w:rPr>
          <w:szCs w:val="24"/>
        </w:rPr>
        <w:t xml:space="preserve">’s practice to inspect HMOs half-way through the term of a licence but, due to the </w:t>
      </w:r>
      <w:r w:rsidR="003B6ED1">
        <w:rPr>
          <w:szCs w:val="24"/>
        </w:rPr>
        <w:t>C</w:t>
      </w:r>
      <w:r>
        <w:rPr>
          <w:szCs w:val="24"/>
        </w:rPr>
        <w:t xml:space="preserve">ovid 19 pandemic and its associated restrictions, the mid-term inspection of </w:t>
      </w:r>
      <w:r w:rsidR="003B6ED1" w:rsidRPr="003B6ED1">
        <w:rPr>
          <w:szCs w:val="24"/>
        </w:rPr>
        <w:t xml:space="preserve">132 Aldykes </w:t>
      </w:r>
      <w:r>
        <w:rPr>
          <w:szCs w:val="24"/>
        </w:rPr>
        <w:t>was not carried out until 27 October 2021.  The inspecto</w:t>
      </w:r>
      <w:r w:rsidR="005A3C20">
        <w:rPr>
          <w:szCs w:val="24"/>
        </w:rPr>
        <w:t>r was</w:t>
      </w:r>
      <w:r>
        <w:rPr>
          <w:szCs w:val="24"/>
        </w:rPr>
        <w:t xml:space="preserve"> Ms Cooper, </w:t>
      </w:r>
      <w:r w:rsidR="003B6ED1">
        <w:rPr>
          <w:szCs w:val="24"/>
        </w:rPr>
        <w:t xml:space="preserve">one </w:t>
      </w:r>
      <w:r>
        <w:rPr>
          <w:szCs w:val="24"/>
        </w:rPr>
        <w:t xml:space="preserve">of the </w:t>
      </w:r>
      <w:r w:rsidR="007F7743">
        <w:rPr>
          <w:szCs w:val="24"/>
        </w:rPr>
        <w:t>Council</w:t>
      </w:r>
      <w:r>
        <w:rPr>
          <w:szCs w:val="24"/>
        </w:rPr>
        <w:t>’s private sector housing team</w:t>
      </w:r>
      <w:r w:rsidR="00EF04D9">
        <w:rPr>
          <w:szCs w:val="24"/>
        </w:rPr>
        <w:t>.  T</w:t>
      </w:r>
      <w:r w:rsidR="003B6ED1">
        <w:rPr>
          <w:szCs w:val="24"/>
        </w:rPr>
        <w:t>he respondent did not attend</w:t>
      </w:r>
      <w:r w:rsidR="00EF04D9">
        <w:rPr>
          <w:szCs w:val="24"/>
        </w:rPr>
        <w:t xml:space="preserve"> and</w:t>
      </w:r>
      <w:r w:rsidR="003B6ED1">
        <w:rPr>
          <w:szCs w:val="24"/>
        </w:rPr>
        <w:t xml:space="preserve"> later questioned</w:t>
      </w:r>
      <w:r>
        <w:rPr>
          <w:szCs w:val="24"/>
        </w:rPr>
        <w:t xml:space="preserve"> whether Ms Cooper had given proper notice o</w:t>
      </w:r>
      <w:r w:rsidR="003B6ED1">
        <w:rPr>
          <w:szCs w:val="24"/>
        </w:rPr>
        <w:t xml:space="preserve">f her visit, </w:t>
      </w:r>
      <w:r>
        <w:rPr>
          <w:szCs w:val="24"/>
        </w:rPr>
        <w:t xml:space="preserve">but the FTT appears to have been satisfied that she did.  </w:t>
      </w:r>
    </w:p>
    <w:p w14:paraId="50183442" w14:textId="634EDA03" w:rsidR="00081839" w:rsidRDefault="003B6ED1" w:rsidP="00417C8C">
      <w:pPr>
        <w:pStyle w:val="ListParagraph"/>
        <w:numPr>
          <w:ilvl w:val="0"/>
          <w:numId w:val="7"/>
        </w:numPr>
        <w:tabs>
          <w:tab w:val="left" w:pos="0"/>
        </w:tabs>
        <w:spacing w:after="360"/>
        <w:ind w:left="567" w:hanging="567"/>
        <w:contextualSpacing w:val="0"/>
        <w:jc w:val="both"/>
        <w:rPr>
          <w:szCs w:val="24"/>
        </w:rPr>
      </w:pPr>
      <w:r>
        <w:rPr>
          <w:szCs w:val="24"/>
        </w:rPr>
        <w:t>Ms Cooper</w:t>
      </w:r>
      <w:r w:rsidR="000A2718">
        <w:rPr>
          <w:szCs w:val="24"/>
        </w:rPr>
        <w:t xml:space="preserve"> was admitted by one of the tenants who told her that there were six or more people living at the property.  </w:t>
      </w:r>
      <w:r w:rsidR="00EF04D9">
        <w:rPr>
          <w:szCs w:val="24"/>
        </w:rPr>
        <w:t>B</w:t>
      </w:r>
      <w:r w:rsidR="00EF04D9" w:rsidRPr="00EF04D9">
        <w:rPr>
          <w:szCs w:val="24"/>
        </w:rPr>
        <w:t xml:space="preserve">ecause of Covid restrictions </w:t>
      </w:r>
      <w:r w:rsidR="002555EE" w:rsidRPr="002555EE">
        <w:rPr>
          <w:szCs w:val="24"/>
        </w:rPr>
        <w:t xml:space="preserve">her inspection </w:t>
      </w:r>
      <w:r w:rsidR="002555EE">
        <w:rPr>
          <w:szCs w:val="24"/>
        </w:rPr>
        <w:t xml:space="preserve">was limited to </w:t>
      </w:r>
      <w:r w:rsidR="002555EE" w:rsidRPr="002555EE">
        <w:rPr>
          <w:szCs w:val="24"/>
        </w:rPr>
        <w:t xml:space="preserve">the kitchen, </w:t>
      </w:r>
      <w:proofErr w:type="gramStart"/>
      <w:r w:rsidR="002555EE" w:rsidRPr="002555EE">
        <w:rPr>
          <w:szCs w:val="24"/>
        </w:rPr>
        <w:t>bathroom</w:t>
      </w:r>
      <w:proofErr w:type="gramEnd"/>
      <w:r w:rsidR="002555EE" w:rsidRPr="002555EE">
        <w:rPr>
          <w:szCs w:val="24"/>
        </w:rPr>
        <w:t xml:space="preserve"> and hallways on the ground and first floors</w:t>
      </w:r>
      <w:r w:rsidR="002555EE">
        <w:rPr>
          <w:szCs w:val="24"/>
        </w:rPr>
        <w:t>, and</w:t>
      </w:r>
      <w:r w:rsidR="002555EE" w:rsidRPr="002555EE">
        <w:rPr>
          <w:szCs w:val="24"/>
        </w:rPr>
        <w:t xml:space="preserve"> </w:t>
      </w:r>
      <w:r w:rsidR="00EF04D9">
        <w:rPr>
          <w:szCs w:val="24"/>
        </w:rPr>
        <w:t xml:space="preserve">she </w:t>
      </w:r>
      <w:r w:rsidR="000A2718">
        <w:rPr>
          <w:szCs w:val="24"/>
        </w:rPr>
        <w:t xml:space="preserve">did not inspect </w:t>
      </w:r>
      <w:r w:rsidR="002555EE">
        <w:rPr>
          <w:szCs w:val="24"/>
        </w:rPr>
        <w:t xml:space="preserve">any of </w:t>
      </w:r>
      <w:r w:rsidR="000A2718">
        <w:rPr>
          <w:szCs w:val="24"/>
        </w:rPr>
        <w:t>the bedrooms</w:t>
      </w:r>
      <w:r w:rsidR="002555EE">
        <w:rPr>
          <w:szCs w:val="24"/>
        </w:rPr>
        <w:t xml:space="preserve">.  She </w:t>
      </w:r>
      <w:r w:rsidR="000A2718">
        <w:rPr>
          <w:szCs w:val="24"/>
        </w:rPr>
        <w:t xml:space="preserve">was unable to form a view about the number of people </w:t>
      </w:r>
      <w:r w:rsidR="002555EE">
        <w:rPr>
          <w:szCs w:val="24"/>
        </w:rPr>
        <w:t>liv</w:t>
      </w:r>
      <w:r w:rsidR="000A2718">
        <w:rPr>
          <w:szCs w:val="24"/>
        </w:rPr>
        <w:t>ing</w:t>
      </w:r>
      <w:r w:rsidR="002555EE">
        <w:rPr>
          <w:szCs w:val="24"/>
        </w:rPr>
        <w:t xml:space="preserve"> at</w:t>
      </w:r>
      <w:r w:rsidR="000A2718">
        <w:rPr>
          <w:szCs w:val="24"/>
        </w:rPr>
        <w:t xml:space="preserve"> the property.  </w:t>
      </w:r>
      <w:r w:rsidR="002555EE">
        <w:rPr>
          <w:szCs w:val="24"/>
        </w:rPr>
        <w:t>While carrying out her inspection s</w:t>
      </w:r>
      <w:r w:rsidR="000A2718">
        <w:rPr>
          <w:szCs w:val="24"/>
        </w:rPr>
        <w:t>he completed a property inspection form</w:t>
      </w:r>
      <w:r w:rsidR="00EF04D9" w:rsidRPr="00EF04D9">
        <w:rPr>
          <w:szCs w:val="24"/>
        </w:rPr>
        <w:t xml:space="preserve"> </w:t>
      </w:r>
      <w:r w:rsidR="00EF04D9">
        <w:rPr>
          <w:szCs w:val="24"/>
        </w:rPr>
        <w:t xml:space="preserve">and </w:t>
      </w:r>
      <w:r w:rsidR="00EF04D9" w:rsidRPr="00EF04D9">
        <w:rPr>
          <w:szCs w:val="24"/>
        </w:rPr>
        <w:t xml:space="preserve">took a number of photographs </w:t>
      </w:r>
      <w:r w:rsidR="002555EE">
        <w:rPr>
          <w:szCs w:val="24"/>
        </w:rPr>
        <w:t xml:space="preserve">which </w:t>
      </w:r>
      <w:r w:rsidR="00EF04D9">
        <w:rPr>
          <w:szCs w:val="24"/>
        </w:rPr>
        <w:t xml:space="preserve">provide </w:t>
      </w:r>
      <w:r w:rsidR="00EF04D9" w:rsidRPr="00EF04D9">
        <w:rPr>
          <w:szCs w:val="24"/>
        </w:rPr>
        <w:t xml:space="preserve">a </w:t>
      </w:r>
      <w:r w:rsidR="00EF04D9">
        <w:rPr>
          <w:szCs w:val="24"/>
        </w:rPr>
        <w:t>con</w:t>
      </w:r>
      <w:r w:rsidR="00EF04D9" w:rsidRPr="00EF04D9">
        <w:rPr>
          <w:szCs w:val="24"/>
        </w:rPr>
        <w:t>temporaneous record of what she observed</w:t>
      </w:r>
      <w:r w:rsidR="000A2718">
        <w:rPr>
          <w:szCs w:val="24"/>
        </w:rPr>
        <w:t>.</w:t>
      </w:r>
    </w:p>
    <w:p w14:paraId="4FF3549A" w14:textId="69B19E61" w:rsidR="00081839" w:rsidRPr="00081839" w:rsidRDefault="00417C8C" w:rsidP="00417C8C">
      <w:pPr>
        <w:pStyle w:val="ListParagraph"/>
        <w:numPr>
          <w:ilvl w:val="0"/>
          <w:numId w:val="7"/>
        </w:numPr>
        <w:tabs>
          <w:tab w:val="left" w:pos="0"/>
        </w:tabs>
        <w:spacing w:after="360"/>
        <w:ind w:left="567" w:hanging="567"/>
        <w:contextualSpacing w:val="0"/>
        <w:jc w:val="both"/>
        <w:rPr>
          <w:szCs w:val="24"/>
        </w:rPr>
      </w:pPr>
      <w:r>
        <w:rPr>
          <w:szCs w:val="24"/>
        </w:rPr>
        <w:t xml:space="preserve">The fire detection </w:t>
      </w:r>
      <w:r w:rsidR="007F7743">
        <w:rPr>
          <w:szCs w:val="24"/>
        </w:rPr>
        <w:t>installation</w:t>
      </w:r>
      <w:r>
        <w:rPr>
          <w:szCs w:val="24"/>
        </w:rPr>
        <w:t xml:space="preserve">s in the property are powered by mains electricity, but </w:t>
      </w:r>
      <w:r w:rsidR="002555EE" w:rsidRPr="002555EE">
        <w:rPr>
          <w:szCs w:val="24"/>
        </w:rPr>
        <w:t xml:space="preserve">on the first floor </w:t>
      </w:r>
      <w:r w:rsidR="000319A1" w:rsidRPr="00081839">
        <w:rPr>
          <w:szCs w:val="24"/>
        </w:rPr>
        <w:t xml:space="preserve">Ms Cooper could hear </w:t>
      </w:r>
      <w:r w:rsidR="007F7743" w:rsidRPr="007F7743">
        <w:rPr>
          <w:szCs w:val="24"/>
        </w:rPr>
        <w:t xml:space="preserve">intermittent bleeping </w:t>
      </w:r>
      <w:r w:rsidR="007F7743">
        <w:rPr>
          <w:szCs w:val="24"/>
        </w:rPr>
        <w:t xml:space="preserve">from </w:t>
      </w:r>
      <w:r w:rsidR="002555EE">
        <w:rPr>
          <w:szCs w:val="24"/>
        </w:rPr>
        <w:t xml:space="preserve">two of </w:t>
      </w:r>
      <w:r w:rsidR="00EF04D9" w:rsidRPr="00081839">
        <w:rPr>
          <w:szCs w:val="24"/>
        </w:rPr>
        <w:t xml:space="preserve">the bedrooms </w:t>
      </w:r>
      <w:r w:rsidR="000319A1" w:rsidRPr="00081839">
        <w:rPr>
          <w:szCs w:val="24"/>
        </w:rPr>
        <w:t>indicat</w:t>
      </w:r>
      <w:r w:rsidR="007F7743">
        <w:rPr>
          <w:szCs w:val="24"/>
        </w:rPr>
        <w:t>ing</w:t>
      </w:r>
      <w:r w:rsidR="000319A1" w:rsidRPr="00081839">
        <w:rPr>
          <w:szCs w:val="24"/>
        </w:rPr>
        <w:t xml:space="preserve"> th</w:t>
      </w:r>
      <w:r>
        <w:rPr>
          <w:szCs w:val="24"/>
        </w:rPr>
        <w:t>at</w:t>
      </w:r>
      <w:r w:rsidR="000319A1" w:rsidRPr="00081839">
        <w:rPr>
          <w:szCs w:val="24"/>
        </w:rPr>
        <w:t xml:space="preserve"> </w:t>
      </w:r>
      <w:r w:rsidR="007F7743">
        <w:rPr>
          <w:szCs w:val="24"/>
        </w:rPr>
        <w:t xml:space="preserve">the </w:t>
      </w:r>
      <w:r w:rsidR="000319A1" w:rsidRPr="00081839">
        <w:rPr>
          <w:szCs w:val="24"/>
        </w:rPr>
        <w:t>backup batteries</w:t>
      </w:r>
      <w:r w:rsidR="007F7743">
        <w:rPr>
          <w:szCs w:val="24"/>
        </w:rPr>
        <w:t xml:space="preserve"> in</w:t>
      </w:r>
      <w:r w:rsidR="000319A1" w:rsidRPr="00081839">
        <w:rPr>
          <w:szCs w:val="24"/>
        </w:rPr>
        <w:t xml:space="preserve"> </w:t>
      </w:r>
      <w:r w:rsidR="007F7743" w:rsidRPr="007F7743">
        <w:rPr>
          <w:szCs w:val="24"/>
        </w:rPr>
        <w:t xml:space="preserve">smoke detectors </w:t>
      </w:r>
      <w:r w:rsidR="000319A1" w:rsidRPr="00081839">
        <w:rPr>
          <w:szCs w:val="24"/>
        </w:rPr>
        <w:t>had run down</w:t>
      </w:r>
      <w:r w:rsidR="007F7743">
        <w:rPr>
          <w:szCs w:val="24"/>
        </w:rPr>
        <w:t>;</w:t>
      </w:r>
      <w:r>
        <w:rPr>
          <w:szCs w:val="24"/>
        </w:rPr>
        <w:t xml:space="preserve"> </w:t>
      </w:r>
      <w:r w:rsidR="007F7743">
        <w:rPr>
          <w:szCs w:val="24"/>
        </w:rPr>
        <w:t>she also observed that</w:t>
      </w:r>
      <w:r w:rsidR="000319A1" w:rsidRPr="00081839">
        <w:rPr>
          <w:szCs w:val="24"/>
        </w:rPr>
        <w:t xml:space="preserve"> </w:t>
      </w:r>
      <w:r w:rsidRPr="00417C8C">
        <w:rPr>
          <w:szCs w:val="24"/>
        </w:rPr>
        <w:t xml:space="preserve">the emergency lighting </w:t>
      </w:r>
      <w:r>
        <w:rPr>
          <w:szCs w:val="24"/>
        </w:rPr>
        <w:t xml:space="preserve">did </w:t>
      </w:r>
      <w:r w:rsidRPr="00417C8C">
        <w:rPr>
          <w:szCs w:val="24"/>
        </w:rPr>
        <w:t xml:space="preserve">not </w:t>
      </w:r>
      <w:r>
        <w:rPr>
          <w:szCs w:val="24"/>
        </w:rPr>
        <w:t>function when the mains power was disconnected</w:t>
      </w:r>
      <w:r w:rsidR="007F7743">
        <w:rPr>
          <w:szCs w:val="24"/>
        </w:rPr>
        <w:t xml:space="preserve"> and that </w:t>
      </w:r>
      <w:r w:rsidR="00081839" w:rsidRPr="00081839">
        <w:rPr>
          <w:szCs w:val="24"/>
        </w:rPr>
        <w:t>two</w:t>
      </w:r>
      <w:r w:rsidR="000319A1" w:rsidRPr="00081839">
        <w:rPr>
          <w:szCs w:val="24"/>
        </w:rPr>
        <w:t xml:space="preserve"> </w:t>
      </w:r>
      <w:r w:rsidR="002555EE">
        <w:rPr>
          <w:szCs w:val="24"/>
        </w:rPr>
        <w:t>smok</w:t>
      </w:r>
      <w:r w:rsidR="00081839" w:rsidRPr="00081839">
        <w:rPr>
          <w:szCs w:val="24"/>
        </w:rPr>
        <w:t>e</w:t>
      </w:r>
      <w:r w:rsidR="002555EE">
        <w:rPr>
          <w:szCs w:val="24"/>
        </w:rPr>
        <w:t xml:space="preserve"> or heat</w:t>
      </w:r>
      <w:r w:rsidR="00081839" w:rsidRPr="00081839">
        <w:rPr>
          <w:szCs w:val="24"/>
        </w:rPr>
        <w:t xml:space="preserve"> </w:t>
      </w:r>
      <w:r w:rsidR="000319A1" w:rsidRPr="00081839">
        <w:rPr>
          <w:szCs w:val="24"/>
        </w:rPr>
        <w:t xml:space="preserve">detector </w:t>
      </w:r>
      <w:r w:rsidR="00081839" w:rsidRPr="00081839">
        <w:rPr>
          <w:szCs w:val="24"/>
        </w:rPr>
        <w:t xml:space="preserve">heads </w:t>
      </w:r>
      <w:r w:rsidR="000319A1" w:rsidRPr="00081839">
        <w:rPr>
          <w:szCs w:val="24"/>
        </w:rPr>
        <w:t>had been partially removed and disabled</w:t>
      </w:r>
      <w:r w:rsidR="00081839" w:rsidRPr="00081839">
        <w:rPr>
          <w:szCs w:val="24"/>
        </w:rPr>
        <w:t xml:space="preserve"> (one in the kitchen and one in the ground floor hallway).</w:t>
      </w:r>
      <w:r w:rsidR="000319A1" w:rsidRPr="00081839">
        <w:rPr>
          <w:szCs w:val="24"/>
        </w:rPr>
        <w:t xml:space="preserve">  </w:t>
      </w:r>
      <w:r w:rsidR="00081839" w:rsidRPr="00081839">
        <w:rPr>
          <w:szCs w:val="24"/>
        </w:rPr>
        <w:t xml:space="preserve">On inspecting the bathroom </w:t>
      </w:r>
      <w:r w:rsidR="00081839">
        <w:rPr>
          <w:szCs w:val="24"/>
        </w:rPr>
        <w:t xml:space="preserve">she </w:t>
      </w:r>
      <w:r w:rsidR="00081839" w:rsidRPr="00081839">
        <w:rPr>
          <w:szCs w:val="24"/>
        </w:rPr>
        <w:t>found damp and mould affecting the ceiling and the tiles around the bath.</w:t>
      </w:r>
    </w:p>
    <w:p w14:paraId="251B6A72" w14:textId="60237008" w:rsidR="000319A1" w:rsidRPr="00417C8C" w:rsidRDefault="000319A1" w:rsidP="00417C8C">
      <w:pPr>
        <w:pStyle w:val="ListParagraph"/>
        <w:numPr>
          <w:ilvl w:val="0"/>
          <w:numId w:val="7"/>
        </w:numPr>
        <w:tabs>
          <w:tab w:val="left" w:pos="0"/>
        </w:tabs>
        <w:spacing w:after="360"/>
        <w:ind w:left="567" w:hanging="567"/>
        <w:contextualSpacing w:val="0"/>
        <w:jc w:val="both"/>
        <w:rPr>
          <w:szCs w:val="24"/>
        </w:rPr>
      </w:pPr>
      <w:r>
        <w:rPr>
          <w:szCs w:val="24"/>
        </w:rPr>
        <w:t xml:space="preserve">In </w:t>
      </w:r>
      <w:r w:rsidR="00417C8C">
        <w:rPr>
          <w:szCs w:val="24"/>
        </w:rPr>
        <w:t xml:space="preserve">the </w:t>
      </w:r>
      <w:r w:rsidR="00E90E04">
        <w:rPr>
          <w:szCs w:val="24"/>
        </w:rPr>
        <w:t>hallway</w:t>
      </w:r>
      <w:r>
        <w:rPr>
          <w:szCs w:val="24"/>
        </w:rPr>
        <w:t xml:space="preserve"> </w:t>
      </w:r>
      <w:r w:rsidR="00417C8C">
        <w:rPr>
          <w:szCs w:val="24"/>
        </w:rPr>
        <w:t>M</w:t>
      </w:r>
      <w:r>
        <w:rPr>
          <w:szCs w:val="24"/>
        </w:rPr>
        <w:t>s</w:t>
      </w:r>
      <w:r w:rsidR="00417C8C">
        <w:rPr>
          <w:szCs w:val="24"/>
        </w:rPr>
        <w:t xml:space="preserve"> Cooper</w:t>
      </w:r>
      <w:r>
        <w:rPr>
          <w:szCs w:val="24"/>
        </w:rPr>
        <w:t xml:space="preserve"> found </w:t>
      </w:r>
      <w:r w:rsidR="00081839">
        <w:rPr>
          <w:szCs w:val="24"/>
        </w:rPr>
        <w:t xml:space="preserve">a </w:t>
      </w:r>
      <w:r>
        <w:rPr>
          <w:szCs w:val="24"/>
        </w:rPr>
        <w:t xml:space="preserve">sofa </w:t>
      </w:r>
      <w:r w:rsidR="00081839">
        <w:rPr>
          <w:szCs w:val="24"/>
        </w:rPr>
        <w:t>completely</w:t>
      </w:r>
      <w:r>
        <w:rPr>
          <w:szCs w:val="24"/>
        </w:rPr>
        <w:t xml:space="preserve"> blocking the door of one of the ground floor rear rooms (th</w:t>
      </w:r>
      <w:r w:rsidR="00081839">
        <w:rPr>
          <w:szCs w:val="24"/>
        </w:rPr>
        <w:t>e</w:t>
      </w:r>
      <w:r>
        <w:rPr>
          <w:szCs w:val="24"/>
        </w:rPr>
        <w:t xml:space="preserve"> room has another door leading to the rear garden of the property).  </w:t>
      </w:r>
      <w:r w:rsidR="00081839">
        <w:rPr>
          <w:szCs w:val="24"/>
        </w:rPr>
        <w:t>A</w:t>
      </w:r>
      <w:r w:rsidR="00517C2B">
        <w:rPr>
          <w:szCs w:val="24"/>
        </w:rPr>
        <w:t>n internal</w:t>
      </w:r>
      <w:r>
        <w:rPr>
          <w:szCs w:val="24"/>
        </w:rPr>
        <w:t xml:space="preserve"> </w:t>
      </w:r>
      <w:r w:rsidR="00517C2B">
        <w:rPr>
          <w:szCs w:val="24"/>
        </w:rPr>
        <w:t>corridor</w:t>
      </w:r>
      <w:r>
        <w:rPr>
          <w:szCs w:val="24"/>
        </w:rPr>
        <w:t xml:space="preserve"> leading from the kitchen to the rear door </w:t>
      </w:r>
      <w:r w:rsidR="00081839">
        <w:rPr>
          <w:szCs w:val="24"/>
        </w:rPr>
        <w:t>was narrowed by other items of furniture and there were boxes and a roll of carpet on the first floor landing</w:t>
      </w:r>
      <w:r>
        <w:rPr>
          <w:szCs w:val="24"/>
        </w:rPr>
        <w:t>.</w:t>
      </w:r>
      <w:r w:rsidR="00417C8C">
        <w:rPr>
          <w:szCs w:val="24"/>
        </w:rPr>
        <w:t xml:space="preserve">  </w:t>
      </w:r>
      <w:r w:rsidRPr="00417C8C">
        <w:rPr>
          <w:szCs w:val="24"/>
        </w:rPr>
        <w:t>In the kitchen</w:t>
      </w:r>
      <w:r w:rsidR="00081839" w:rsidRPr="00417C8C">
        <w:rPr>
          <w:szCs w:val="24"/>
        </w:rPr>
        <w:t xml:space="preserve"> </w:t>
      </w:r>
      <w:r w:rsidR="007F7743">
        <w:rPr>
          <w:szCs w:val="24"/>
        </w:rPr>
        <w:t xml:space="preserve">the fire door was wedged open, </w:t>
      </w:r>
      <w:r w:rsidR="00081839" w:rsidRPr="00417C8C">
        <w:rPr>
          <w:szCs w:val="24"/>
        </w:rPr>
        <w:t>a</w:t>
      </w:r>
      <w:r w:rsidRPr="00417C8C">
        <w:rPr>
          <w:szCs w:val="24"/>
        </w:rPr>
        <w:t xml:space="preserve"> fire blanket was </w:t>
      </w:r>
      <w:r w:rsidR="004C0348">
        <w:rPr>
          <w:szCs w:val="24"/>
        </w:rPr>
        <w:t>mis</w:t>
      </w:r>
      <w:r w:rsidR="00FB657B">
        <w:rPr>
          <w:szCs w:val="24"/>
        </w:rPr>
        <w:t>s</w:t>
      </w:r>
      <w:r w:rsidRPr="00417C8C">
        <w:rPr>
          <w:szCs w:val="24"/>
        </w:rPr>
        <w:t xml:space="preserve">ing from its </w:t>
      </w:r>
      <w:r w:rsidR="00081839" w:rsidRPr="00417C8C">
        <w:rPr>
          <w:szCs w:val="24"/>
        </w:rPr>
        <w:t>h</w:t>
      </w:r>
      <w:r w:rsidRPr="00417C8C">
        <w:rPr>
          <w:szCs w:val="24"/>
        </w:rPr>
        <w:t>older on the wall, a</w:t>
      </w:r>
      <w:r w:rsidR="007F7743">
        <w:rPr>
          <w:szCs w:val="24"/>
        </w:rPr>
        <w:t>nd a</w:t>
      </w:r>
      <w:r w:rsidRPr="00417C8C">
        <w:rPr>
          <w:szCs w:val="24"/>
        </w:rPr>
        <w:t>n electric extension lead r</w:t>
      </w:r>
      <w:r w:rsidR="00081839" w:rsidRPr="00417C8C">
        <w:rPr>
          <w:szCs w:val="24"/>
        </w:rPr>
        <w:t>a</w:t>
      </w:r>
      <w:r w:rsidRPr="00417C8C">
        <w:rPr>
          <w:szCs w:val="24"/>
        </w:rPr>
        <w:t xml:space="preserve">n along the floor across the entrance from the hallway.  </w:t>
      </w:r>
    </w:p>
    <w:p w14:paraId="075D6AEF" w14:textId="6014D2CE" w:rsidR="000319A1" w:rsidRDefault="00417C8C" w:rsidP="000C4FFF">
      <w:pPr>
        <w:pStyle w:val="ListParagraph"/>
        <w:numPr>
          <w:ilvl w:val="0"/>
          <w:numId w:val="7"/>
        </w:numPr>
        <w:tabs>
          <w:tab w:val="left" w:pos="0"/>
        </w:tabs>
        <w:spacing w:after="360"/>
        <w:ind w:left="567" w:hanging="567"/>
        <w:contextualSpacing w:val="0"/>
        <w:jc w:val="both"/>
        <w:rPr>
          <w:szCs w:val="24"/>
        </w:rPr>
      </w:pPr>
      <w:r>
        <w:rPr>
          <w:szCs w:val="24"/>
        </w:rPr>
        <w:t>La</w:t>
      </w:r>
      <w:r w:rsidR="000319A1">
        <w:rPr>
          <w:szCs w:val="24"/>
        </w:rPr>
        <w:t xml:space="preserve">ter the </w:t>
      </w:r>
      <w:r>
        <w:rPr>
          <w:szCs w:val="24"/>
        </w:rPr>
        <w:t>s</w:t>
      </w:r>
      <w:r w:rsidR="000319A1">
        <w:rPr>
          <w:szCs w:val="24"/>
        </w:rPr>
        <w:t>a</w:t>
      </w:r>
      <w:r>
        <w:rPr>
          <w:szCs w:val="24"/>
        </w:rPr>
        <w:t>me day</w:t>
      </w:r>
      <w:r w:rsidR="000319A1">
        <w:rPr>
          <w:szCs w:val="24"/>
        </w:rPr>
        <w:t xml:space="preserve"> Ms Cooper telephone</w:t>
      </w:r>
      <w:r w:rsidR="000C4FFF">
        <w:rPr>
          <w:szCs w:val="24"/>
        </w:rPr>
        <w:t>d</w:t>
      </w:r>
      <w:r>
        <w:rPr>
          <w:szCs w:val="24"/>
        </w:rPr>
        <w:t xml:space="preserve"> </w:t>
      </w:r>
      <w:r w:rsidR="000C4FFF">
        <w:rPr>
          <w:szCs w:val="24"/>
        </w:rPr>
        <w:t>t</w:t>
      </w:r>
      <w:r>
        <w:rPr>
          <w:szCs w:val="24"/>
        </w:rPr>
        <w:t xml:space="preserve">he respondent </w:t>
      </w:r>
      <w:r w:rsidR="000C4FFF">
        <w:rPr>
          <w:szCs w:val="24"/>
        </w:rPr>
        <w:t xml:space="preserve">who </w:t>
      </w:r>
      <w:r>
        <w:rPr>
          <w:szCs w:val="24"/>
        </w:rPr>
        <w:t>e</w:t>
      </w:r>
      <w:r w:rsidRPr="00417C8C">
        <w:rPr>
          <w:szCs w:val="24"/>
        </w:rPr>
        <w:t>xplained that she had not visited the property for some time due to the Covid pandemic</w:t>
      </w:r>
      <w:r>
        <w:rPr>
          <w:szCs w:val="24"/>
        </w:rPr>
        <w:t>.</w:t>
      </w:r>
      <w:r w:rsidRPr="00417C8C">
        <w:rPr>
          <w:szCs w:val="24"/>
        </w:rPr>
        <w:t xml:space="preserve"> </w:t>
      </w:r>
      <w:r>
        <w:rPr>
          <w:szCs w:val="24"/>
        </w:rPr>
        <w:t xml:space="preserve"> Ms Cooper asked her to </w:t>
      </w:r>
      <w:r w:rsidR="000C4FFF">
        <w:rPr>
          <w:szCs w:val="24"/>
        </w:rPr>
        <w:t xml:space="preserve">replace </w:t>
      </w:r>
      <w:r>
        <w:rPr>
          <w:szCs w:val="24"/>
        </w:rPr>
        <w:t xml:space="preserve">the disabled </w:t>
      </w:r>
      <w:r w:rsidR="00517C2B">
        <w:rPr>
          <w:szCs w:val="24"/>
        </w:rPr>
        <w:t>fir</w:t>
      </w:r>
      <w:r>
        <w:rPr>
          <w:szCs w:val="24"/>
        </w:rPr>
        <w:t>e detectors within 24 hours, failing which she would arrange for emergency remedial work to be carried out</w:t>
      </w:r>
      <w:r w:rsidR="000319A1">
        <w:rPr>
          <w:szCs w:val="24"/>
        </w:rPr>
        <w:t>.</w:t>
      </w:r>
      <w:r>
        <w:rPr>
          <w:szCs w:val="24"/>
        </w:rPr>
        <w:t xml:space="preserve">  </w:t>
      </w:r>
      <w:r w:rsidR="000C4FFF">
        <w:rPr>
          <w:szCs w:val="24"/>
        </w:rPr>
        <w:t xml:space="preserve">When </w:t>
      </w:r>
      <w:r>
        <w:rPr>
          <w:szCs w:val="24"/>
        </w:rPr>
        <w:t xml:space="preserve">Ms Cooper attended the property the following </w:t>
      </w:r>
      <w:r w:rsidR="00EA16DF">
        <w:rPr>
          <w:szCs w:val="24"/>
        </w:rPr>
        <w:t>day,</w:t>
      </w:r>
      <w:r w:rsidR="000C4FFF">
        <w:rPr>
          <w:szCs w:val="24"/>
        </w:rPr>
        <w:t xml:space="preserve"> she recorded that the disabled detector heads had already been replaced in response to her instruction.</w:t>
      </w:r>
    </w:p>
    <w:p w14:paraId="17D0273F" w14:textId="40A5A082" w:rsidR="007F7743" w:rsidRDefault="000319A1" w:rsidP="007F7743">
      <w:pPr>
        <w:pStyle w:val="ListParagraph"/>
        <w:numPr>
          <w:ilvl w:val="0"/>
          <w:numId w:val="7"/>
        </w:numPr>
        <w:tabs>
          <w:tab w:val="left" w:pos="0"/>
        </w:tabs>
        <w:spacing w:after="360"/>
        <w:ind w:left="567" w:hanging="567"/>
        <w:contextualSpacing w:val="0"/>
        <w:jc w:val="both"/>
        <w:rPr>
          <w:szCs w:val="24"/>
        </w:rPr>
      </w:pPr>
      <w:r>
        <w:rPr>
          <w:szCs w:val="24"/>
        </w:rPr>
        <w:t>Two days later, on 29 October 2021</w:t>
      </w:r>
      <w:r w:rsidR="00517C2B">
        <w:rPr>
          <w:szCs w:val="24"/>
        </w:rPr>
        <w:t>,</w:t>
      </w:r>
      <w:r>
        <w:rPr>
          <w:szCs w:val="24"/>
        </w:rPr>
        <w:t xml:space="preserve"> Ms Cooper sent a letter to the respondent enclosing a schedule of works </w:t>
      </w:r>
      <w:r w:rsidR="000C4FFF">
        <w:rPr>
          <w:szCs w:val="24"/>
        </w:rPr>
        <w:t xml:space="preserve">which she required </w:t>
      </w:r>
      <w:r>
        <w:rPr>
          <w:szCs w:val="24"/>
        </w:rPr>
        <w:t xml:space="preserve">to be carried out to the property.  The letter </w:t>
      </w:r>
      <w:r w:rsidR="000C4FFF">
        <w:rPr>
          <w:szCs w:val="24"/>
        </w:rPr>
        <w:t xml:space="preserve">was headed with a </w:t>
      </w:r>
      <w:r>
        <w:rPr>
          <w:szCs w:val="24"/>
        </w:rPr>
        <w:t>refere</w:t>
      </w:r>
      <w:r w:rsidR="000C4FFF">
        <w:rPr>
          <w:szCs w:val="24"/>
        </w:rPr>
        <w:t>nce</w:t>
      </w:r>
      <w:r>
        <w:rPr>
          <w:szCs w:val="24"/>
        </w:rPr>
        <w:t xml:space="preserve"> to the 2006 Regulations and</w:t>
      </w:r>
      <w:r w:rsidR="000C4FFF">
        <w:rPr>
          <w:szCs w:val="24"/>
        </w:rPr>
        <w:t xml:space="preserve"> stated that the schedule was being served without prejudice to any legal action the </w:t>
      </w:r>
      <w:r w:rsidR="007F7743">
        <w:rPr>
          <w:szCs w:val="24"/>
        </w:rPr>
        <w:t>Council</w:t>
      </w:r>
      <w:r w:rsidR="000C4FFF">
        <w:rPr>
          <w:szCs w:val="24"/>
        </w:rPr>
        <w:t xml:space="preserve"> might subsequently take.</w:t>
      </w:r>
      <w:r>
        <w:rPr>
          <w:szCs w:val="24"/>
        </w:rPr>
        <w:t xml:space="preserve"> </w:t>
      </w:r>
      <w:r w:rsidR="000C4FFF">
        <w:rPr>
          <w:szCs w:val="24"/>
        </w:rPr>
        <w:t xml:space="preserve"> Ms Cooper also </w:t>
      </w:r>
      <w:r>
        <w:rPr>
          <w:szCs w:val="24"/>
        </w:rPr>
        <w:t>required the respondent to produce</w:t>
      </w:r>
      <w:r w:rsidR="000C4FFF">
        <w:rPr>
          <w:szCs w:val="24"/>
        </w:rPr>
        <w:t xml:space="preserve"> </w:t>
      </w:r>
      <w:r>
        <w:rPr>
          <w:szCs w:val="24"/>
        </w:rPr>
        <w:t xml:space="preserve">test certificates for </w:t>
      </w:r>
      <w:r w:rsidR="000C4FFF">
        <w:rPr>
          <w:szCs w:val="24"/>
        </w:rPr>
        <w:t>appli</w:t>
      </w:r>
      <w:r>
        <w:rPr>
          <w:szCs w:val="24"/>
        </w:rPr>
        <w:t>ances</w:t>
      </w:r>
      <w:r w:rsidR="000C4FFF">
        <w:rPr>
          <w:szCs w:val="24"/>
        </w:rPr>
        <w:t xml:space="preserve"> and installations </w:t>
      </w:r>
      <w:r>
        <w:rPr>
          <w:szCs w:val="24"/>
        </w:rPr>
        <w:t xml:space="preserve">and </w:t>
      </w:r>
      <w:r w:rsidR="000C4FFF">
        <w:rPr>
          <w:szCs w:val="24"/>
        </w:rPr>
        <w:t xml:space="preserve">risk </w:t>
      </w:r>
      <w:r>
        <w:rPr>
          <w:szCs w:val="24"/>
        </w:rPr>
        <w:t>assessments</w:t>
      </w:r>
      <w:r w:rsidR="000C4FFF">
        <w:rPr>
          <w:szCs w:val="24"/>
        </w:rPr>
        <w:t>.</w:t>
      </w:r>
    </w:p>
    <w:p w14:paraId="2A7512BA" w14:textId="2D0B60FC" w:rsidR="00D052B6" w:rsidRPr="007F7743" w:rsidRDefault="00D052B6" w:rsidP="003A20F2">
      <w:pPr>
        <w:pStyle w:val="ListParagraph"/>
        <w:numPr>
          <w:ilvl w:val="0"/>
          <w:numId w:val="7"/>
        </w:numPr>
        <w:tabs>
          <w:tab w:val="left" w:pos="0"/>
        </w:tabs>
        <w:spacing w:after="360"/>
        <w:ind w:left="567" w:hanging="567"/>
        <w:contextualSpacing w:val="0"/>
        <w:jc w:val="both"/>
        <w:rPr>
          <w:szCs w:val="24"/>
        </w:rPr>
      </w:pPr>
      <w:r w:rsidRPr="007F7743">
        <w:rPr>
          <w:szCs w:val="24"/>
        </w:rPr>
        <w:lastRenderedPageBreak/>
        <w:t xml:space="preserve">The schedule of works </w:t>
      </w:r>
      <w:r w:rsidR="007F7743" w:rsidRPr="007F7743">
        <w:rPr>
          <w:szCs w:val="24"/>
        </w:rPr>
        <w:t xml:space="preserve">is important because it </w:t>
      </w:r>
      <w:r w:rsidRPr="007F7743">
        <w:rPr>
          <w:szCs w:val="24"/>
        </w:rPr>
        <w:t>contained</w:t>
      </w:r>
      <w:r w:rsidR="007F7743" w:rsidRPr="007F7743">
        <w:rPr>
          <w:szCs w:val="24"/>
        </w:rPr>
        <w:t xml:space="preserve"> details of matters of concern to the Council which were later omitted from the notices of intent. </w:t>
      </w:r>
      <w:r w:rsidRPr="007F7743">
        <w:rPr>
          <w:szCs w:val="24"/>
        </w:rPr>
        <w:t xml:space="preserve"> </w:t>
      </w:r>
      <w:r w:rsidR="007F7743" w:rsidRPr="007F7743">
        <w:rPr>
          <w:szCs w:val="24"/>
        </w:rPr>
        <w:t>E</w:t>
      </w:r>
      <w:r w:rsidRPr="007F7743">
        <w:rPr>
          <w:szCs w:val="24"/>
        </w:rPr>
        <w:t>ight separate item</w:t>
      </w:r>
      <w:r w:rsidR="00EF681A" w:rsidRPr="007F7743">
        <w:rPr>
          <w:szCs w:val="24"/>
        </w:rPr>
        <w:t>s</w:t>
      </w:r>
      <w:r w:rsidRPr="007F7743">
        <w:rPr>
          <w:szCs w:val="24"/>
        </w:rPr>
        <w:t xml:space="preserve"> </w:t>
      </w:r>
      <w:r w:rsidR="007F7743" w:rsidRPr="007F7743">
        <w:rPr>
          <w:szCs w:val="24"/>
        </w:rPr>
        <w:t xml:space="preserve">of work were identified. </w:t>
      </w:r>
      <w:r w:rsidRPr="007F7743">
        <w:rPr>
          <w:szCs w:val="24"/>
        </w:rPr>
        <w:t xml:space="preserve">The first four </w:t>
      </w:r>
      <w:r w:rsidR="007F7743" w:rsidRPr="007F7743">
        <w:rPr>
          <w:szCs w:val="24"/>
        </w:rPr>
        <w:t xml:space="preserve">related to </w:t>
      </w:r>
      <w:r w:rsidRPr="007F7743">
        <w:rPr>
          <w:szCs w:val="24"/>
        </w:rPr>
        <w:t>fire safety and required remedial work to be undertaken within seven day</w:t>
      </w:r>
      <w:r w:rsidR="00EF681A" w:rsidRPr="007F7743">
        <w:rPr>
          <w:szCs w:val="24"/>
        </w:rPr>
        <w:t>s</w:t>
      </w:r>
      <w:r w:rsidR="007F7743" w:rsidRPr="007F7743">
        <w:rPr>
          <w:szCs w:val="24"/>
        </w:rPr>
        <w:t xml:space="preserve">: </w:t>
      </w:r>
      <w:r w:rsidRPr="007F7743">
        <w:rPr>
          <w:szCs w:val="24"/>
        </w:rPr>
        <w:t xml:space="preserve">all the fire detection to the property </w:t>
      </w:r>
      <w:r w:rsidR="007F7743" w:rsidRPr="007F7743">
        <w:rPr>
          <w:szCs w:val="24"/>
        </w:rPr>
        <w:t xml:space="preserve">was to be put </w:t>
      </w:r>
      <w:r w:rsidRPr="007F7743">
        <w:rPr>
          <w:szCs w:val="24"/>
        </w:rPr>
        <w:t>in full working order and evidence</w:t>
      </w:r>
      <w:r w:rsidR="007F7743" w:rsidRPr="007F7743">
        <w:rPr>
          <w:szCs w:val="24"/>
        </w:rPr>
        <w:t xml:space="preserve"> was to be provided; </w:t>
      </w:r>
      <w:r w:rsidRPr="007F7743">
        <w:rPr>
          <w:szCs w:val="24"/>
        </w:rPr>
        <w:t xml:space="preserve">a new fire blanket </w:t>
      </w:r>
      <w:r w:rsidR="007F7743">
        <w:rPr>
          <w:szCs w:val="24"/>
        </w:rPr>
        <w:t>was</w:t>
      </w:r>
      <w:r w:rsidRPr="007F7743">
        <w:rPr>
          <w:szCs w:val="24"/>
        </w:rPr>
        <w:t xml:space="preserve"> </w:t>
      </w:r>
      <w:r w:rsidR="007F7743">
        <w:rPr>
          <w:szCs w:val="24"/>
        </w:rPr>
        <w:t>to b</w:t>
      </w:r>
      <w:r w:rsidRPr="007F7743">
        <w:rPr>
          <w:szCs w:val="24"/>
        </w:rPr>
        <w:t xml:space="preserve">e </w:t>
      </w:r>
      <w:r w:rsidR="00FB657B">
        <w:rPr>
          <w:szCs w:val="24"/>
        </w:rPr>
        <w:t>supplied for</w:t>
      </w:r>
      <w:r w:rsidR="007F7743">
        <w:rPr>
          <w:szCs w:val="24"/>
        </w:rPr>
        <w:t xml:space="preserve"> the kitchen;</w:t>
      </w:r>
      <w:r w:rsidRPr="007F7743">
        <w:rPr>
          <w:szCs w:val="24"/>
        </w:rPr>
        <w:t xml:space="preserve"> the sofa blocking the rear ground floor bedroom door</w:t>
      </w:r>
      <w:r w:rsidR="007F7743">
        <w:rPr>
          <w:szCs w:val="24"/>
        </w:rPr>
        <w:t xml:space="preserve"> was</w:t>
      </w:r>
      <w:r w:rsidRPr="007F7743">
        <w:rPr>
          <w:szCs w:val="24"/>
        </w:rPr>
        <w:t xml:space="preserve"> to be removed</w:t>
      </w:r>
      <w:r w:rsidR="007F7743">
        <w:rPr>
          <w:szCs w:val="24"/>
        </w:rPr>
        <w:t>;</w:t>
      </w:r>
      <w:r w:rsidRPr="007F7743">
        <w:rPr>
          <w:szCs w:val="24"/>
        </w:rPr>
        <w:t xml:space="preserve"> the kitchen door was</w:t>
      </w:r>
      <w:r w:rsidR="00FB657B">
        <w:rPr>
          <w:szCs w:val="24"/>
        </w:rPr>
        <w:t xml:space="preserve"> not to be</w:t>
      </w:r>
      <w:r w:rsidRPr="007F7743">
        <w:rPr>
          <w:szCs w:val="24"/>
        </w:rPr>
        <w:t xml:space="preserve"> wedged open.</w:t>
      </w:r>
    </w:p>
    <w:p w14:paraId="4F6C9441" w14:textId="1E328712" w:rsidR="00D052B6" w:rsidRDefault="00D052B6" w:rsidP="000C4FFF">
      <w:pPr>
        <w:pStyle w:val="ListParagraph"/>
        <w:numPr>
          <w:ilvl w:val="0"/>
          <w:numId w:val="7"/>
        </w:numPr>
        <w:tabs>
          <w:tab w:val="left" w:pos="0"/>
        </w:tabs>
        <w:spacing w:after="360"/>
        <w:ind w:left="567" w:hanging="567"/>
        <w:contextualSpacing w:val="0"/>
        <w:jc w:val="both"/>
        <w:rPr>
          <w:szCs w:val="24"/>
        </w:rPr>
      </w:pPr>
      <w:r>
        <w:rPr>
          <w:szCs w:val="24"/>
        </w:rPr>
        <w:t>The remaining items in the schedule of works concerned the</w:t>
      </w:r>
      <w:r w:rsidR="00FB657B">
        <w:rPr>
          <w:szCs w:val="24"/>
        </w:rPr>
        <w:t xml:space="preserve"> maintenance of the </w:t>
      </w:r>
      <w:r>
        <w:rPr>
          <w:szCs w:val="24"/>
        </w:rPr>
        <w:t>common part</w:t>
      </w:r>
      <w:r w:rsidR="00EF681A">
        <w:rPr>
          <w:szCs w:val="24"/>
        </w:rPr>
        <w:t>s</w:t>
      </w:r>
      <w:r w:rsidR="00FB657B">
        <w:rPr>
          <w:szCs w:val="24"/>
        </w:rPr>
        <w:t xml:space="preserve"> and required work to be carried out within four weeks. </w:t>
      </w:r>
      <w:r>
        <w:rPr>
          <w:szCs w:val="24"/>
        </w:rPr>
        <w:t xml:space="preserve"> Cables were not to be permitted to trail across the floor and further electrical sockets </w:t>
      </w:r>
      <w:r w:rsidR="00FB657B">
        <w:rPr>
          <w:szCs w:val="24"/>
        </w:rPr>
        <w:t xml:space="preserve">might be required </w:t>
      </w:r>
      <w:r>
        <w:rPr>
          <w:szCs w:val="24"/>
        </w:rPr>
        <w:t>to avoid thi</w:t>
      </w:r>
      <w:r w:rsidR="00EF681A">
        <w:rPr>
          <w:szCs w:val="24"/>
        </w:rPr>
        <w:t>s</w:t>
      </w:r>
      <w:r w:rsidR="00FB657B">
        <w:rPr>
          <w:szCs w:val="24"/>
        </w:rPr>
        <w:t>;</w:t>
      </w:r>
      <w:r>
        <w:rPr>
          <w:szCs w:val="24"/>
        </w:rPr>
        <w:t xml:space="preserve"> </w:t>
      </w:r>
      <w:r w:rsidR="00FB657B">
        <w:rPr>
          <w:szCs w:val="24"/>
        </w:rPr>
        <w:t>a</w:t>
      </w:r>
      <w:r>
        <w:rPr>
          <w:szCs w:val="24"/>
        </w:rPr>
        <w:t xml:space="preserve"> spindle </w:t>
      </w:r>
      <w:r w:rsidR="00517C2B">
        <w:rPr>
          <w:szCs w:val="24"/>
        </w:rPr>
        <w:t>mis</w:t>
      </w:r>
      <w:r w:rsidR="00FB657B">
        <w:rPr>
          <w:szCs w:val="24"/>
        </w:rPr>
        <w:t>s</w:t>
      </w:r>
      <w:r>
        <w:rPr>
          <w:szCs w:val="24"/>
        </w:rPr>
        <w:t xml:space="preserve">ing from the </w:t>
      </w:r>
      <w:r w:rsidR="00E90E04">
        <w:rPr>
          <w:szCs w:val="24"/>
        </w:rPr>
        <w:t>first-floor</w:t>
      </w:r>
      <w:r>
        <w:rPr>
          <w:szCs w:val="24"/>
        </w:rPr>
        <w:t xml:space="preserve"> handrail guarding the stair</w:t>
      </w:r>
      <w:r w:rsidR="00EF681A">
        <w:rPr>
          <w:szCs w:val="24"/>
        </w:rPr>
        <w:t>s</w:t>
      </w:r>
      <w:r w:rsidR="00FB657B">
        <w:rPr>
          <w:szCs w:val="24"/>
        </w:rPr>
        <w:t xml:space="preserve"> was to be replaced; t</w:t>
      </w:r>
      <w:r>
        <w:rPr>
          <w:szCs w:val="24"/>
        </w:rPr>
        <w:t>he kitchen extractor fan was not working and was to be re</w:t>
      </w:r>
      <w:r w:rsidR="00FB657B">
        <w:rPr>
          <w:szCs w:val="24"/>
        </w:rPr>
        <w:t>pair</w:t>
      </w:r>
      <w:r>
        <w:rPr>
          <w:szCs w:val="24"/>
        </w:rPr>
        <w:t>ed</w:t>
      </w:r>
      <w:r w:rsidR="00FB657B">
        <w:rPr>
          <w:szCs w:val="24"/>
        </w:rPr>
        <w:t>;</w:t>
      </w:r>
      <w:r>
        <w:rPr>
          <w:szCs w:val="24"/>
        </w:rPr>
        <w:t xml:space="preserve"> and the bathroom was to be put in a good state of repair which m</w:t>
      </w:r>
      <w:r w:rsidR="00517C2B">
        <w:rPr>
          <w:szCs w:val="24"/>
        </w:rPr>
        <w:t>ight</w:t>
      </w:r>
      <w:r>
        <w:rPr>
          <w:szCs w:val="24"/>
        </w:rPr>
        <w:t xml:space="preserve"> require it to be refurbished.  </w:t>
      </w:r>
    </w:p>
    <w:p w14:paraId="12DDD3B0" w14:textId="3701579D" w:rsidR="00D052B6" w:rsidRDefault="00D052B6" w:rsidP="000C4FFF">
      <w:pPr>
        <w:pStyle w:val="ListParagraph"/>
        <w:numPr>
          <w:ilvl w:val="0"/>
          <w:numId w:val="7"/>
        </w:numPr>
        <w:tabs>
          <w:tab w:val="left" w:pos="0"/>
        </w:tabs>
        <w:spacing w:after="360"/>
        <w:ind w:left="567" w:hanging="567"/>
        <w:contextualSpacing w:val="0"/>
        <w:jc w:val="both"/>
        <w:rPr>
          <w:szCs w:val="24"/>
        </w:rPr>
      </w:pPr>
      <w:r>
        <w:rPr>
          <w:szCs w:val="24"/>
        </w:rPr>
        <w:t xml:space="preserve">The FTT </w:t>
      </w:r>
      <w:r w:rsidR="00FB657B">
        <w:rPr>
          <w:szCs w:val="24"/>
        </w:rPr>
        <w:t xml:space="preserve">later </w:t>
      </w:r>
      <w:r>
        <w:rPr>
          <w:szCs w:val="24"/>
        </w:rPr>
        <w:t xml:space="preserve">recorded that all of the work </w:t>
      </w:r>
      <w:r w:rsidR="00FB657B">
        <w:rPr>
          <w:szCs w:val="24"/>
        </w:rPr>
        <w:t>required by</w:t>
      </w:r>
      <w:r>
        <w:rPr>
          <w:szCs w:val="24"/>
        </w:rPr>
        <w:t xml:space="preserve"> the schedule of works had been completed by the end of 2021</w:t>
      </w:r>
      <w:r w:rsidR="00FB657B">
        <w:rPr>
          <w:szCs w:val="24"/>
        </w:rPr>
        <w:t xml:space="preserve">.  All but one of </w:t>
      </w:r>
      <w:r>
        <w:rPr>
          <w:szCs w:val="24"/>
        </w:rPr>
        <w:t>the test certificates</w:t>
      </w:r>
      <w:r w:rsidR="00FB657B">
        <w:rPr>
          <w:szCs w:val="24"/>
        </w:rPr>
        <w:t xml:space="preserve"> and risk assessment</w:t>
      </w:r>
      <w:r w:rsidR="00517C2B">
        <w:rPr>
          <w:szCs w:val="24"/>
        </w:rPr>
        <w:t>s</w:t>
      </w:r>
      <w:r>
        <w:rPr>
          <w:szCs w:val="24"/>
        </w:rPr>
        <w:t xml:space="preserve"> had</w:t>
      </w:r>
      <w:r w:rsidR="00FB657B">
        <w:rPr>
          <w:szCs w:val="24"/>
        </w:rPr>
        <w:t xml:space="preserve"> also</w:t>
      </w:r>
      <w:r>
        <w:rPr>
          <w:szCs w:val="24"/>
        </w:rPr>
        <w:t xml:space="preserve"> been provided</w:t>
      </w:r>
      <w:r w:rsidR="00FB657B">
        <w:rPr>
          <w:szCs w:val="24"/>
        </w:rPr>
        <w:t xml:space="preserve">.  The one </w:t>
      </w:r>
      <w:r w:rsidR="00517C2B">
        <w:rPr>
          <w:szCs w:val="24"/>
        </w:rPr>
        <w:t>mis</w:t>
      </w:r>
      <w:r w:rsidR="00FB657B">
        <w:rPr>
          <w:szCs w:val="24"/>
        </w:rPr>
        <w:t xml:space="preserve">sing certificate, </w:t>
      </w:r>
      <w:r>
        <w:rPr>
          <w:szCs w:val="24"/>
        </w:rPr>
        <w:t xml:space="preserve">an electrical installation condition report (EICR) valid from the date of expiry of </w:t>
      </w:r>
      <w:r w:rsidR="0002380D">
        <w:rPr>
          <w:szCs w:val="24"/>
        </w:rPr>
        <w:t>a</w:t>
      </w:r>
      <w:r>
        <w:rPr>
          <w:szCs w:val="24"/>
        </w:rPr>
        <w:t xml:space="preserve"> previous report in May 2020</w:t>
      </w:r>
      <w:r w:rsidR="00FB657B">
        <w:rPr>
          <w:szCs w:val="24"/>
        </w:rPr>
        <w:t xml:space="preserve">, </w:t>
      </w:r>
      <w:r>
        <w:rPr>
          <w:szCs w:val="24"/>
        </w:rPr>
        <w:t xml:space="preserve">was not provided within the </w:t>
      </w:r>
      <w:r w:rsidR="00FB657B">
        <w:rPr>
          <w:szCs w:val="24"/>
        </w:rPr>
        <w:t>seven</w:t>
      </w:r>
      <w:r>
        <w:rPr>
          <w:szCs w:val="24"/>
        </w:rPr>
        <w:t xml:space="preserve"> days requ</w:t>
      </w:r>
      <w:r w:rsidR="00517C2B">
        <w:rPr>
          <w:szCs w:val="24"/>
        </w:rPr>
        <w:t>est</w:t>
      </w:r>
      <w:r>
        <w:rPr>
          <w:szCs w:val="24"/>
        </w:rPr>
        <w:t xml:space="preserve">ed by </w:t>
      </w:r>
      <w:r w:rsidR="00FB657B">
        <w:rPr>
          <w:szCs w:val="24"/>
        </w:rPr>
        <w:t>Ms</w:t>
      </w:r>
      <w:r>
        <w:rPr>
          <w:szCs w:val="24"/>
        </w:rPr>
        <w:t xml:space="preserve"> Cooper’s letter</w:t>
      </w:r>
      <w:r w:rsidR="00B4345A">
        <w:rPr>
          <w:szCs w:val="24"/>
        </w:rPr>
        <w:t xml:space="preserve"> </w:t>
      </w:r>
      <w:r w:rsidR="00FB657B">
        <w:rPr>
          <w:szCs w:val="24"/>
        </w:rPr>
        <w:t>but was supplied later.</w:t>
      </w:r>
    </w:p>
    <w:p w14:paraId="1DA860A9" w14:textId="41937E34" w:rsidR="0002380D" w:rsidRDefault="00B4345A" w:rsidP="0002380D">
      <w:pPr>
        <w:pStyle w:val="ListParagraph"/>
        <w:numPr>
          <w:ilvl w:val="0"/>
          <w:numId w:val="7"/>
        </w:numPr>
        <w:tabs>
          <w:tab w:val="left" w:pos="0"/>
        </w:tabs>
        <w:spacing w:after="360"/>
        <w:ind w:left="567" w:hanging="567"/>
        <w:contextualSpacing w:val="0"/>
        <w:jc w:val="both"/>
        <w:rPr>
          <w:szCs w:val="24"/>
        </w:rPr>
      </w:pPr>
      <w:r>
        <w:rPr>
          <w:szCs w:val="24"/>
        </w:rPr>
        <w:t>The letter of 29 October and the schedule of works w</w:t>
      </w:r>
      <w:r w:rsidR="00FB657B">
        <w:rPr>
          <w:szCs w:val="24"/>
        </w:rPr>
        <w:t>ere</w:t>
      </w:r>
      <w:r>
        <w:rPr>
          <w:szCs w:val="24"/>
        </w:rPr>
        <w:t xml:space="preserve"> sent to the respondent by email.  Attached to the email were copies of the photographs taken by </w:t>
      </w:r>
      <w:r w:rsidR="00FB657B">
        <w:rPr>
          <w:szCs w:val="24"/>
        </w:rPr>
        <w:t>Ms</w:t>
      </w:r>
      <w:r>
        <w:rPr>
          <w:szCs w:val="24"/>
        </w:rPr>
        <w:t xml:space="preserve"> Cooper</w:t>
      </w:r>
      <w:r w:rsidR="00FB657B">
        <w:rPr>
          <w:szCs w:val="24"/>
        </w:rPr>
        <w:t xml:space="preserve"> on her first visit</w:t>
      </w:r>
      <w:r w:rsidR="00517C2B">
        <w:rPr>
          <w:szCs w:val="24"/>
        </w:rPr>
        <w:t xml:space="preserve"> showing the defects which concerned her</w:t>
      </w:r>
      <w:r>
        <w:rPr>
          <w:szCs w:val="24"/>
        </w:rPr>
        <w:t>.</w:t>
      </w:r>
    </w:p>
    <w:p w14:paraId="568FD7D4" w14:textId="46C3F29A" w:rsidR="0002380D" w:rsidRDefault="00FB657B" w:rsidP="0002380D">
      <w:pPr>
        <w:pStyle w:val="ListParagraph"/>
        <w:numPr>
          <w:ilvl w:val="0"/>
          <w:numId w:val="7"/>
        </w:numPr>
        <w:tabs>
          <w:tab w:val="left" w:pos="0"/>
        </w:tabs>
        <w:spacing w:after="360"/>
        <w:ind w:left="567" w:hanging="567"/>
        <w:contextualSpacing w:val="0"/>
        <w:jc w:val="both"/>
        <w:rPr>
          <w:szCs w:val="24"/>
        </w:rPr>
      </w:pPr>
      <w:r w:rsidRPr="0002380D">
        <w:rPr>
          <w:szCs w:val="24"/>
        </w:rPr>
        <w:t>T</w:t>
      </w:r>
      <w:r w:rsidR="00B4345A" w:rsidRPr="0002380D">
        <w:rPr>
          <w:szCs w:val="24"/>
        </w:rPr>
        <w:t xml:space="preserve">he respondent </w:t>
      </w:r>
      <w:r w:rsidRPr="0002380D">
        <w:rPr>
          <w:szCs w:val="24"/>
        </w:rPr>
        <w:t>did not re</w:t>
      </w:r>
      <w:r w:rsidR="00326468">
        <w:rPr>
          <w:szCs w:val="24"/>
        </w:rPr>
        <w:t>ply</w:t>
      </w:r>
      <w:r w:rsidRPr="0002380D">
        <w:rPr>
          <w:szCs w:val="24"/>
        </w:rPr>
        <w:t xml:space="preserve"> to an</w:t>
      </w:r>
      <w:r w:rsidR="00B4345A" w:rsidRPr="0002380D">
        <w:rPr>
          <w:szCs w:val="24"/>
        </w:rPr>
        <w:t xml:space="preserve"> invit</w:t>
      </w:r>
      <w:r w:rsidRPr="0002380D">
        <w:rPr>
          <w:szCs w:val="24"/>
        </w:rPr>
        <w:t>ation</w:t>
      </w:r>
      <w:r w:rsidR="00B4345A" w:rsidRPr="0002380D">
        <w:rPr>
          <w:szCs w:val="24"/>
        </w:rPr>
        <w:t xml:space="preserve"> to attend an interview under caution and did not attend the interview appointment.  On the day of the appointment </w:t>
      </w:r>
      <w:r w:rsidRPr="0002380D">
        <w:rPr>
          <w:szCs w:val="24"/>
        </w:rPr>
        <w:t>Ms</w:t>
      </w:r>
      <w:r w:rsidR="00B4345A" w:rsidRPr="0002380D">
        <w:rPr>
          <w:szCs w:val="24"/>
        </w:rPr>
        <w:t xml:space="preserve"> Cooper and her manager decided to </w:t>
      </w:r>
      <w:r w:rsidR="00326468">
        <w:rPr>
          <w:szCs w:val="24"/>
        </w:rPr>
        <w:t>initiate f</w:t>
      </w:r>
      <w:r w:rsidR="00B4345A" w:rsidRPr="0002380D">
        <w:rPr>
          <w:szCs w:val="24"/>
        </w:rPr>
        <w:t>inancial penalty</w:t>
      </w:r>
      <w:r w:rsidR="00326468">
        <w:rPr>
          <w:szCs w:val="24"/>
        </w:rPr>
        <w:t xml:space="preserve"> proceedings by </w:t>
      </w:r>
      <w:r w:rsidR="00326468" w:rsidRPr="00326468">
        <w:rPr>
          <w:szCs w:val="24"/>
        </w:rPr>
        <w:t>serv</w:t>
      </w:r>
      <w:r w:rsidR="00326468">
        <w:rPr>
          <w:szCs w:val="24"/>
        </w:rPr>
        <w:t>ing</w:t>
      </w:r>
      <w:r w:rsidR="00326468" w:rsidRPr="00326468">
        <w:rPr>
          <w:szCs w:val="24"/>
        </w:rPr>
        <w:t xml:space="preserve"> a notice of intent</w:t>
      </w:r>
      <w:r w:rsidR="00B4345A" w:rsidRPr="0002380D">
        <w:rPr>
          <w:szCs w:val="24"/>
        </w:rPr>
        <w:t>.  They made a record of their d</w:t>
      </w:r>
      <w:r w:rsidR="0002380D">
        <w:rPr>
          <w:szCs w:val="24"/>
        </w:rPr>
        <w:t>is</w:t>
      </w:r>
      <w:r w:rsidR="00B4345A" w:rsidRPr="0002380D">
        <w:rPr>
          <w:szCs w:val="24"/>
        </w:rPr>
        <w:t>c</w:t>
      </w:r>
      <w:r w:rsidR="0002380D">
        <w:rPr>
          <w:szCs w:val="24"/>
        </w:rPr>
        <w:t>us</w:t>
      </w:r>
      <w:r w:rsidR="00B4345A" w:rsidRPr="0002380D">
        <w:rPr>
          <w:szCs w:val="24"/>
        </w:rPr>
        <w:t>sion</w:t>
      </w:r>
      <w:r w:rsidR="0002380D">
        <w:rPr>
          <w:szCs w:val="24"/>
        </w:rPr>
        <w:t xml:space="preserve"> in</w:t>
      </w:r>
      <w:r w:rsidR="00B4345A" w:rsidRPr="0002380D">
        <w:rPr>
          <w:szCs w:val="24"/>
        </w:rPr>
        <w:t xml:space="preserve"> which</w:t>
      </w:r>
      <w:r w:rsidR="0002380D">
        <w:rPr>
          <w:szCs w:val="24"/>
        </w:rPr>
        <w:t xml:space="preserve"> they</w:t>
      </w:r>
      <w:r w:rsidR="00B4345A" w:rsidRPr="0002380D">
        <w:rPr>
          <w:szCs w:val="24"/>
        </w:rPr>
        <w:t xml:space="preserve"> </w:t>
      </w:r>
      <w:r w:rsidRPr="0002380D">
        <w:rPr>
          <w:szCs w:val="24"/>
        </w:rPr>
        <w:t>ite</w:t>
      </w:r>
      <w:r w:rsidR="0002380D" w:rsidRPr="0002380D">
        <w:rPr>
          <w:szCs w:val="24"/>
        </w:rPr>
        <w:t>mise</w:t>
      </w:r>
      <w:r w:rsidRPr="0002380D">
        <w:rPr>
          <w:szCs w:val="24"/>
        </w:rPr>
        <w:t>d</w:t>
      </w:r>
      <w:r w:rsidR="00B4345A" w:rsidRPr="0002380D">
        <w:rPr>
          <w:szCs w:val="24"/>
        </w:rPr>
        <w:t xml:space="preserve"> the matters they had </w:t>
      </w:r>
      <w:proofErr w:type="gramStart"/>
      <w:r w:rsidR="00B4345A" w:rsidRPr="0002380D">
        <w:rPr>
          <w:szCs w:val="24"/>
        </w:rPr>
        <w:t>taken into account</w:t>
      </w:r>
      <w:proofErr w:type="gramEnd"/>
      <w:r w:rsidR="00B4345A" w:rsidRPr="0002380D">
        <w:rPr>
          <w:szCs w:val="24"/>
        </w:rPr>
        <w:t xml:space="preserve"> w</w:t>
      </w:r>
      <w:r w:rsidRPr="0002380D">
        <w:rPr>
          <w:szCs w:val="24"/>
        </w:rPr>
        <w:t xml:space="preserve">hen deciding to </w:t>
      </w:r>
      <w:r w:rsidR="0002380D">
        <w:rPr>
          <w:szCs w:val="24"/>
        </w:rPr>
        <w:t>serve the notice</w:t>
      </w:r>
      <w:r w:rsidR="0002380D" w:rsidRPr="0002380D">
        <w:rPr>
          <w:szCs w:val="24"/>
        </w:rPr>
        <w:t xml:space="preserve">; these included all of the matters which had been included in the schedule of works as well as the absence of </w:t>
      </w:r>
      <w:r w:rsidR="00767498" w:rsidRPr="0002380D">
        <w:rPr>
          <w:szCs w:val="24"/>
        </w:rPr>
        <w:t>the EICR certificate</w:t>
      </w:r>
      <w:r w:rsidR="0002380D">
        <w:rPr>
          <w:szCs w:val="24"/>
        </w:rPr>
        <w:t>.</w:t>
      </w:r>
    </w:p>
    <w:p w14:paraId="1DA105EC" w14:textId="78BE78DE" w:rsidR="0002380D" w:rsidRDefault="0002380D" w:rsidP="004F5468">
      <w:pPr>
        <w:pStyle w:val="ListParagraph"/>
        <w:numPr>
          <w:ilvl w:val="0"/>
          <w:numId w:val="7"/>
        </w:numPr>
        <w:tabs>
          <w:tab w:val="left" w:pos="0"/>
        </w:tabs>
        <w:spacing w:after="360"/>
        <w:ind w:left="567" w:hanging="567"/>
        <w:contextualSpacing w:val="0"/>
        <w:jc w:val="both"/>
        <w:rPr>
          <w:szCs w:val="24"/>
        </w:rPr>
      </w:pPr>
      <w:r>
        <w:rPr>
          <w:szCs w:val="24"/>
        </w:rPr>
        <w:t>O</w:t>
      </w:r>
      <w:r w:rsidRPr="0002380D">
        <w:rPr>
          <w:szCs w:val="24"/>
        </w:rPr>
        <w:t xml:space="preserve">n 2 February </w:t>
      </w:r>
      <w:r w:rsidR="006F7ED1">
        <w:rPr>
          <w:szCs w:val="24"/>
        </w:rPr>
        <w:t xml:space="preserve">2022 </w:t>
      </w:r>
      <w:r w:rsidR="00FC0884">
        <w:rPr>
          <w:szCs w:val="24"/>
        </w:rPr>
        <w:t xml:space="preserve">the </w:t>
      </w:r>
      <w:r w:rsidR="007F7743">
        <w:rPr>
          <w:szCs w:val="24"/>
        </w:rPr>
        <w:t>Council</w:t>
      </w:r>
      <w:r w:rsidR="00FC0884">
        <w:rPr>
          <w:szCs w:val="24"/>
        </w:rPr>
        <w:t>’s officers served three notices of intent</w:t>
      </w:r>
      <w:r w:rsidR="006F7ED1">
        <w:rPr>
          <w:szCs w:val="24"/>
        </w:rPr>
        <w:t xml:space="preserve"> on the respondent</w:t>
      </w:r>
      <w:r w:rsidR="00FC0884">
        <w:rPr>
          <w:szCs w:val="24"/>
        </w:rPr>
        <w:t>. Only two of those notices are</w:t>
      </w:r>
      <w:r>
        <w:rPr>
          <w:szCs w:val="24"/>
        </w:rPr>
        <w:t xml:space="preserve"> relevant to the appeal; the third, which concerned the delay in supplying the EICR certificate, was subsequently confirmed by the FTT (but with a reduced penalty) and there has been no appeal from that decision by the respondent</w:t>
      </w:r>
      <w:r w:rsidR="00364EE9">
        <w:rPr>
          <w:szCs w:val="24"/>
        </w:rPr>
        <w:t xml:space="preserve">.  </w:t>
      </w:r>
    </w:p>
    <w:p w14:paraId="3E2FCDCA" w14:textId="544ED3BB" w:rsidR="00213C3C" w:rsidRPr="00213C3C" w:rsidRDefault="00213C3C" w:rsidP="00213C3C">
      <w:pPr>
        <w:tabs>
          <w:tab w:val="left" w:pos="0"/>
        </w:tabs>
        <w:spacing w:after="360"/>
        <w:jc w:val="both"/>
        <w:rPr>
          <w:b/>
          <w:bCs/>
          <w:szCs w:val="24"/>
        </w:rPr>
      </w:pPr>
      <w:r w:rsidRPr="00213C3C">
        <w:rPr>
          <w:b/>
          <w:bCs/>
          <w:szCs w:val="24"/>
        </w:rPr>
        <w:t>The notices</w:t>
      </w:r>
    </w:p>
    <w:p w14:paraId="02116B09" w14:textId="24E1717D" w:rsidR="0002380D" w:rsidRDefault="0002380D" w:rsidP="009B3815">
      <w:pPr>
        <w:pStyle w:val="ListParagraph"/>
        <w:numPr>
          <w:ilvl w:val="0"/>
          <w:numId w:val="7"/>
        </w:numPr>
        <w:tabs>
          <w:tab w:val="left" w:pos="0"/>
        </w:tabs>
        <w:spacing w:after="240"/>
        <w:ind w:left="567" w:hanging="567"/>
        <w:contextualSpacing w:val="0"/>
        <w:jc w:val="both"/>
        <w:rPr>
          <w:szCs w:val="24"/>
        </w:rPr>
      </w:pPr>
      <w:r>
        <w:rPr>
          <w:szCs w:val="24"/>
        </w:rPr>
        <w:t>When drafting the notices of intent i</w:t>
      </w:r>
      <w:r w:rsidRPr="0002380D">
        <w:rPr>
          <w:szCs w:val="24"/>
        </w:rPr>
        <w:t xml:space="preserve">t would have been a straightforward matter </w:t>
      </w:r>
      <w:r w:rsidR="00EA16DF">
        <w:rPr>
          <w:szCs w:val="24"/>
        </w:rPr>
        <w:t xml:space="preserve">for officers </w:t>
      </w:r>
      <w:r w:rsidRPr="0002380D">
        <w:rPr>
          <w:szCs w:val="24"/>
        </w:rPr>
        <w:t>to transpose the deficiencies</w:t>
      </w:r>
      <w:r>
        <w:rPr>
          <w:szCs w:val="24"/>
        </w:rPr>
        <w:t xml:space="preserve"> record</w:t>
      </w:r>
      <w:r w:rsidR="00326468">
        <w:rPr>
          <w:szCs w:val="24"/>
        </w:rPr>
        <w:t>ed in the note of</w:t>
      </w:r>
      <w:r>
        <w:rPr>
          <w:szCs w:val="24"/>
        </w:rPr>
        <w:t xml:space="preserve"> the</w:t>
      </w:r>
      <w:r w:rsidR="00326468">
        <w:rPr>
          <w:szCs w:val="24"/>
        </w:rPr>
        <w:t>ir</w:t>
      </w:r>
      <w:r>
        <w:rPr>
          <w:szCs w:val="24"/>
        </w:rPr>
        <w:t xml:space="preserve"> d</w:t>
      </w:r>
      <w:r w:rsidR="00326468">
        <w:rPr>
          <w:szCs w:val="24"/>
        </w:rPr>
        <w:t>is</w:t>
      </w:r>
      <w:r>
        <w:rPr>
          <w:szCs w:val="24"/>
        </w:rPr>
        <w:t>c</w:t>
      </w:r>
      <w:r w:rsidR="00326468">
        <w:rPr>
          <w:szCs w:val="24"/>
        </w:rPr>
        <w:t>us</w:t>
      </w:r>
      <w:r>
        <w:rPr>
          <w:szCs w:val="24"/>
        </w:rPr>
        <w:t xml:space="preserve">sion </w:t>
      </w:r>
      <w:r w:rsidRPr="0002380D">
        <w:rPr>
          <w:szCs w:val="24"/>
        </w:rPr>
        <w:t>into the Council’s</w:t>
      </w:r>
      <w:r w:rsidR="00EE7491">
        <w:rPr>
          <w:szCs w:val="24"/>
        </w:rPr>
        <w:t xml:space="preserve"> standard </w:t>
      </w:r>
      <w:r w:rsidRPr="0002380D">
        <w:rPr>
          <w:szCs w:val="24"/>
        </w:rPr>
        <w:t>notice of intent template, but that was not what the</w:t>
      </w:r>
      <w:r w:rsidR="00EA16DF">
        <w:rPr>
          <w:szCs w:val="24"/>
        </w:rPr>
        <w:t>y</w:t>
      </w:r>
      <w:r w:rsidRPr="0002380D">
        <w:rPr>
          <w:szCs w:val="24"/>
        </w:rPr>
        <w:t xml:space="preserve"> did.  </w:t>
      </w:r>
    </w:p>
    <w:p w14:paraId="078A7F1F" w14:textId="013FDDA8" w:rsidR="009B3815" w:rsidRDefault="00364EE9" w:rsidP="009B3815">
      <w:pPr>
        <w:pStyle w:val="ListParagraph"/>
        <w:numPr>
          <w:ilvl w:val="0"/>
          <w:numId w:val="7"/>
        </w:numPr>
        <w:tabs>
          <w:tab w:val="left" w:pos="0"/>
        </w:tabs>
        <w:spacing w:after="240"/>
        <w:ind w:left="567" w:hanging="567"/>
        <w:contextualSpacing w:val="0"/>
        <w:jc w:val="both"/>
        <w:rPr>
          <w:szCs w:val="24"/>
        </w:rPr>
      </w:pPr>
      <w:r>
        <w:rPr>
          <w:szCs w:val="24"/>
        </w:rPr>
        <w:t xml:space="preserve">The first </w:t>
      </w:r>
      <w:r w:rsidR="00EE7491">
        <w:rPr>
          <w:szCs w:val="24"/>
        </w:rPr>
        <w:t>notice was addressed to the respondent</w:t>
      </w:r>
      <w:r w:rsidR="006F7ED1">
        <w:rPr>
          <w:szCs w:val="24"/>
        </w:rPr>
        <w:t>,</w:t>
      </w:r>
      <w:r w:rsidR="00EE7491">
        <w:rPr>
          <w:szCs w:val="24"/>
        </w:rPr>
        <w:t xml:space="preserve"> describ</w:t>
      </w:r>
      <w:r w:rsidR="006F7ED1">
        <w:rPr>
          <w:szCs w:val="24"/>
        </w:rPr>
        <w:t>ing</w:t>
      </w:r>
      <w:r w:rsidR="00EE7491">
        <w:rPr>
          <w:szCs w:val="24"/>
        </w:rPr>
        <w:t xml:space="preserve"> her as the “prospective licence holder, owner and person managing”</w:t>
      </w:r>
      <w:r w:rsidR="00EE7491" w:rsidRPr="00EE7491">
        <w:rPr>
          <w:szCs w:val="24"/>
        </w:rPr>
        <w:t xml:space="preserve"> the property</w:t>
      </w:r>
      <w:r w:rsidR="00EE7491">
        <w:rPr>
          <w:szCs w:val="24"/>
        </w:rPr>
        <w:t xml:space="preserve">.  It </w:t>
      </w:r>
      <w:r w:rsidR="00EE7491" w:rsidRPr="00EE7491">
        <w:rPr>
          <w:szCs w:val="24"/>
        </w:rPr>
        <w:t xml:space="preserve">informed her that the Council intended to impose a civil penalty of £20,000 under section 249A and Schedule 13A, 2004 Act.  </w:t>
      </w:r>
      <w:r>
        <w:rPr>
          <w:szCs w:val="24"/>
        </w:rPr>
        <w:t xml:space="preserve">Under the heading “Reason” the following </w:t>
      </w:r>
      <w:r w:rsidR="00EE7491">
        <w:rPr>
          <w:szCs w:val="24"/>
        </w:rPr>
        <w:t>explanation was given</w:t>
      </w:r>
      <w:r>
        <w:rPr>
          <w:szCs w:val="24"/>
        </w:rPr>
        <w:t>:</w:t>
      </w:r>
    </w:p>
    <w:p w14:paraId="1475FDB6" w14:textId="171B585F" w:rsidR="00FF65EE" w:rsidRPr="00EE7491" w:rsidRDefault="00364EE9" w:rsidP="00EE7491">
      <w:pPr>
        <w:pStyle w:val="ListParagraph"/>
        <w:tabs>
          <w:tab w:val="left" w:pos="0"/>
        </w:tabs>
        <w:spacing w:after="240"/>
        <w:ind w:left="1134" w:right="567"/>
        <w:contextualSpacing w:val="0"/>
        <w:jc w:val="both"/>
        <w:rPr>
          <w:szCs w:val="24"/>
        </w:rPr>
      </w:pPr>
      <w:r>
        <w:rPr>
          <w:szCs w:val="24"/>
        </w:rPr>
        <w:lastRenderedPageBreak/>
        <w:t>“</w:t>
      </w:r>
      <w:r w:rsidR="00AC44D6">
        <w:rPr>
          <w:szCs w:val="24"/>
        </w:rPr>
        <w:t xml:space="preserve">3. The reasons for proposing to </w:t>
      </w:r>
      <w:r w:rsidR="008532AC">
        <w:rPr>
          <w:szCs w:val="24"/>
        </w:rPr>
        <w:t>im</w:t>
      </w:r>
      <w:r w:rsidR="00AC44D6">
        <w:rPr>
          <w:szCs w:val="24"/>
        </w:rPr>
        <w:t>pose a Financial Penalty are failure to comply with the following legal requirement</w:t>
      </w:r>
      <w:r w:rsidR="00FF65EE">
        <w:rPr>
          <w:szCs w:val="24"/>
        </w:rPr>
        <w:t>:</w:t>
      </w:r>
      <w:r w:rsidR="00EE7491">
        <w:rPr>
          <w:szCs w:val="24"/>
        </w:rPr>
        <w:t xml:space="preserve"> </w:t>
      </w:r>
      <w:r w:rsidR="00FF65EE" w:rsidRPr="00EE7491">
        <w:rPr>
          <w:szCs w:val="24"/>
        </w:rPr>
        <w:t xml:space="preserve">The Housing Act 2004, </w:t>
      </w:r>
      <w:r w:rsidR="00EE7491">
        <w:rPr>
          <w:szCs w:val="24"/>
        </w:rPr>
        <w:t>H</w:t>
      </w:r>
      <w:r w:rsidR="00FF65EE" w:rsidRPr="00EE7491">
        <w:rPr>
          <w:szCs w:val="24"/>
        </w:rPr>
        <w:t xml:space="preserve">ouses in </w:t>
      </w:r>
      <w:r w:rsidR="00EE7491">
        <w:rPr>
          <w:szCs w:val="24"/>
        </w:rPr>
        <w:t>M</w:t>
      </w:r>
      <w:r w:rsidR="00FF65EE" w:rsidRPr="00EE7491">
        <w:rPr>
          <w:szCs w:val="24"/>
        </w:rPr>
        <w:t xml:space="preserve">ultiple </w:t>
      </w:r>
      <w:r w:rsidR="00EE7491">
        <w:rPr>
          <w:szCs w:val="24"/>
        </w:rPr>
        <w:t>O</w:t>
      </w:r>
      <w:r w:rsidR="00FF65EE" w:rsidRPr="00EE7491">
        <w:rPr>
          <w:szCs w:val="24"/>
        </w:rPr>
        <w:t xml:space="preserve">ccupation </w:t>
      </w:r>
      <w:r w:rsidR="00EE7491">
        <w:rPr>
          <w:szCs w:val="24"/>
        </w:rPr>
        <w:t>M</w:t>
      </w:r>
      <w:r w:rsidR="00C517D3" w:rsidRPr="00EE7491">
        <w:rPr>
          <w:szCs w:val="24"/>
        </w:rPr>
        <w:t xml:space="preserve">anagement </w:t>
      </w:r>
      <w:r w:rsidR="00EE7491">
        <w:rPr>
          <w:szCs w:val="24"/>
        </w:rPr>
        <w:t>R</w:t>
      </w:r>
      <w:r w:rsidR="00C517D3" w:rsidRPr="00EE7491">
        <w:rPr>
          <w:szCs w:val="24"/>
        </w:rPr>
        <w:t xml:space="preserve">egulations 2006 </w:t>
      </w:r>
      <w:r w:rsidR="008532AC">
        <w:rPr>
          <w:szCs w:val="24"/>
        </w:rPr>
        <w:t>R</w:t>
      </w:r>
      <w:r w:rsidR="00C517D3" w:rsidRPr="00EE7491">
        <w:rPr>
          <w:szCs w:val="24"/>
        </w:rPr>
        <w:t xml:space="preserve">egulation 4 offences contrary to </w:t>
      </w:r>
      <w:r w:rsidR="00EF681A" w:rsidRPr="00EE7491">
        <w:rPr>
          <w:szCs w:val="24"/>
        </w:rPr>
        <w:t>section</w:t>
      </w:r>
      <w:r w:rsidR="008532AC">
        <w:rPr>
          <w:szCs w:val="24"/>
        </w:rPr>
        <w:t xml:space="preserve"> </w:t>
      </w:r>
      <w:r w:rsidR="00C517D3" w:rsidRPr="00EE7491">
        <w:rPr>
          <w:szCs w:val="24"/>
        </w:rPr>
        <w:t xml:space="preserve">234 of the Housing Act 2004. </w:t>
      </w:r>
    </w:p>
    <w:p w14:paraId="4D6A398E" w14:textId="773D2CE7" w:rsidR="00C517D3" w:rsidRDefault="00C517D3" w:rsidP="00EE7491">
      <w:pPr>
        <w:pStyle w:val="ListParagraph"/>
        <w:tabs>
          <w:tab w:val="left" w:pos="0"/>
        </w:tabs>
        <w:spacing w:after="240"/>
        <w:ind w:left="1134" w:right="567"/>
        <w:contextualSpacing w:val="0"/>
        <w:jc w:val="both"/>
        <w:rPr>
          <w:szCs w:val="24"/>
        </w:rPr>
      </w:pPr>
      <w:r>
        <w:rPr>
          <w:szCs w:val="24"/>
        </w:rPr>
        <w:t xml:space="preserve">Because: during a routine </w:t>
      </w:r>
      <w:r w:rsidR="008532AC">
        <w:rPr>
          <w:szCs w:val="24"/>
        </w:rPr>
        <w:t>L</w:t>
      </w:r>
      <w:r w:rsidR="00716FE3">
        <w:rPr>
          <w:szCs w:val="24"/>
        </w:rPr>
        <w:t>icen</w:t>
      </w:r>
      <w:r w:rsidR="008532AC">
        <w:rPr>
          <w:szCs w:val="24"/>
        </w:rPr>
        <w:t>c</w:t>
      </w:r>
      <w:r w:rsidR="00716FE3">
        <w:rPr>
          <w:szCs w:val="24"/>
        </w:rPr>
        <w:t xml:space="preserve">ed </w:t>
      </w:r>
      <w:r w:rsidR="008532AC">
        <w:rPr>
          <w:szCs w:val="24"/>
        </w:rPr>
        <w:t>H</w:t>
      </w:r>
      <w:r w:rsidR="00716FE3">
        <w:rPr>
          <w:szCs w:val="24"/>
        </w:rPr>
        <w:t>ouse</w:t>
      </w:r>
      <w:r w:rsidR="005F4F6C">
        <w:rPr>
          <w:szCs w:val="24"/>
        </w:rPr>
        <w:t xml:space="preserve"> of </w:t>
      </w:r>
      <w:r w:rsidR="008532AC">
        <w:rPr>
          <w:szCs w:val="24"/>
        </w:rPr>
        <w:t>M</w:t>
      </w:r>
      <w:r w:rsidR="005F4F6C">
        <w:rPr>
          <w:szCs w:val="24"/>
        </w:rPr>
        <w:t xml:space="preserve">ultiple </w:t>
      </w:r>
      <w:r w:rsidR="008532AC">
        <w:rPr>
          <w:szCs w:val="24"/>
        </w:rPr>
        <w:t>O</w:t>
      </w:r>
      <w:r w:rsidR="005F4F6C">
        <w:rPr>
          <w:szCs w:val="24"/>
        </w:rPr>
        <w:t xml:space="preserve">ccupation inspection on 27 October 2021 numerous fire safety </w:t>
      </w:r>
      <w:r w:rsidR="008532AC">
        <w:rPr>
          <w:szCs w:val="24"/>
        </w:rPr>
        <w:t>de</w:t>
      </w:r>
      <w:r w:rsidR="002F2020">
        <w:rPr>
          <w:szCs w:val="24"/>
        </w:rPr>
        <w:t>ficiencies</w:t>
      </w:r>
      <w:r w:rsidR="005F4F6C">
        <w:rPr>
          <w:szCs w:val="24"/>
        </w:rPr>
        <w:t xml:space="preserve"> were identified at the premise</w:t>
      </w:r>
      <w:r w:rsidR="00EF681A">
        <w:rPr>
          <w:szCs w:val="24"/>
        </w:rPr>
        <w:t>s</w:t>
      </w:r>
      <w:r w:rsidR="008532AC">
        <w:rPr>
          <w:szCs w:val="24"/>
        </w:rPr>
        <w:t>.</w:t>
      </w:r>
    </w:p>
    <w:p w14:paraId="188512A5" w14:textId="56914B40" w:rsidR="0068168A" w:rsidRDefault="0068168A" w:rsidP="00EE7491">
      <w:pPr>
        <w:pStyle w:val="ListParagraph"/>
        <w:tabs>
          <w:tab w:val="left" w:pos="0"/>
        </w:tabs>
        <w:spacing w:after="240"/>
        <w:ind w:left="1134" w:right="567"/>
        <w:contextualSpacing w:val="0"/>
        <w:jc w:val="both"/>
        <w:rPr>
          <w:szCs w:val="24"/>
        </w:rPr>
      </w:pPr>
      <w:r>
        <w:rPr>
          <w:szCs w:val="24"/>
        </w:rPr>
        <w:t xml:space="preserve">4. The </w:t>
      </w:r>
      <w:r w:rsidR="008532AC">
        <w:rPr>
          <w:szCs w:val="24"/>
        </w:rPr>
        <w:t>C</w:t>
      </w:r>
      <w:r>
        <w:rPr>
          <w:szCs w:val="24"/>
        </w:rPr>
        <w:t xml:space="preserve">ouncil considers the service of </w:t>
      </w:r>
      <w:r w:rsidR="008532AC">
        <w:rPr>
          <w:szCs w:val="24"/>
        </w:rPr>
        <w:t>a</w:t>
      </w:r>
      <w:r>
        <w:rPr>
          <w:szCs w:val="24"/>
        </w:rPr>
        <w:t xml:space="preserve"> Financial Penalty as the most appropriate c</w:t>
      </w:r>
      <w:r w:rsidR="004A2B9A">
        <w:rPr>
          <w:szCs w:val="24"/>
        </w:rPr>
        <w:t>ourse of action for the following reason</w:t>
      </w:r>
      <w:r w:rsidR="00EF681A">
        <w:rPr>
          <w:szCs w:val="24"/>
        </w:rPr>
        <w:t>s</w:t>
      </w:r>
      <w:r w:rsidR="008532AC">
        <w:rPr>
          <w:szCs w:val="24"/>
        </w:rPr>
        <w:t>.</w:t>
      </w:r>
      <w:r w:rsidR="004A2B9A">
        <w:rPr>
          <w:szCs w:val="24"/>
        </w:rPr>
        <w:t xml:space="preserve">  The Housing and Planning Act 2016 specifies that the amount of penalty imposed is to </w:t>
      </w:r>
      <w:r w:rsidR="000152FC">
        <w:rPr>
          <w:szCs w:val="24"/>
        </w:rPr>
        <w:t xml:space="preserve">be determined by the </w:t>
      </w:r>
      <w:r w:rsidR="008532AC">
        <w:rPr>
          <w:szCs w:val="24"/>
        </w:rPr>
        <w:t>L</w:t>
      </w:r>
      <w:r w:rsidR="000152FC">
        <w:rPr>
          <w:szCs w:val="24"/>
        </w:rPr>
        <w:t xml:space="preserve">ocal </w:t>
      </w:r>
      <w:r w:rsidR="008532AC">
        <w:rPr>
          <w:szCs w:val="24"/>
        </w:rPr>
        <w:t>H</w:t>
      </w:r>
      <w:r w:rsidR="000152FC">
        <w:rPr>
          <w:szCs w:val="24"/>
        </w:rPr>
        <w:t xml:space="preserve">ousing </w:t>
      </w:r>
      <w:r w:rsidR="008532AC">
        <w:rPr>
          <w:szCs w:val="24"/>
        </w:rPr>
        <w:t>A</w:t>
      </w:r>
      <w:r w:rsidR="000152FC">
        <w:rPr>
          <w:szCs w:val="24"/>
        </w:rPr>
        <w:t>uthority but must not be more than £30,000.</w:t>
      </w:r>
    </w:p>
    <w:p w14:paraId="4FDD1C55" w14:textId="2345F380" w:rsidR="000152FC" w:rsidRDefault="000152FC" w:rsidP="008532AC">
      <w:pPr>
        <w:pStyle w:val="ListParagraph"/>
        <w:tabs>
          <w:tab w:val="left" w:pos="0"/>
        </w:tabs>
        <w:spacing w:after="240"/>
        <w:ind w:left="1134" w:right="567"/>
        <w:contextualSpacing w:val="0"/>
        <w:jc w:val="both"/>
        <w:rPr>
          <w:szCs w:val="24"/>
        </w:rPr>
      </w:pPr>
      <w:r>
        <w:rPr>
          <w:szCs w:val="24"/>
        </w:rPr>
        <w:t xml:space="preserve">5. In determining the amount of penalty to be issued in this instance, the Authority has considered evidence relating to matters of this case and consulted </w:t>
      </w:r>
      <w:r w:rsidR="008532AC">
        <w:rPr>
          <w:szCs w:val="24"/>
        </w:rPr>
        <w:t>g</w:t>
      </w:r>
      <w:r>
        <w:rPr>
          <w:szCs w:val="24"/>
        </w:rPr>
        <w:t xml:space="preserve">overnmental </w:t>
      </w:r>
      <w:r w:rsidR="008532AC">
        <w:rPr>
          <w:szCs w:val="24"/>
        </w:rPr>
        <w:t>g</w:t>
      </w:r>
      <w:r>
        <w:rPr>
          <w:szCs w:val="24"/>
        </w:rPr>
        <w:t xml:space="preserve">uidance.  </w:t>
      </w:r>
      <w:r w:rsidR="00716FE3">
        <w:rPr>
          <w:szCs w:val="24"/>
        </w:rPr>
        <w:t>Specifically,</w:t>
      </w:r>
      <w:r>
        <w:rPr>
          <w:szCs w:val="24"/>
        </w:rPr>
        <w:t xml:space="preserve"> we have taken into account:</w:t>
      </w:r>
    </w:p>
    <w:p w14:paraId="0B410DC0" w14:textId="4CFD1CBC" w:rsidR="000152FC" w:rsidRDefault="000152FC" w:rsidP="008532AC">
      <w:pPr>
        <w:pStyle w:val="ListParagraph"/>
        <w:numPr>
          <w:ilvl w:val="0"/>
          <w:numId w:val="9"/>
        </w:numPr>
        <w:tabs>
          <w:tab w:val="left" w:pos="0"/>
        </w:tabs>
        <w:spacing w:after="120"/>
        <w:ind w:left="2154" w:hanging="357"/>
        <w:contextualSpacing w:val="0"/>
        <w:jc w:val="both"/>
        <w:rPr>
          <w:szCs w:val="24"/>
        </w:rPr>
      </w:pPr>
      <w:r>
        <w:rPr>
          <w:szCs w:val="24"/>
        </w:rPr>
        <w:t>The severity and seriousness of the offence/</w:t>
      </w:r>
      <w:r w:rsidR="00EF681A">
        <w:rPr>
          <w:szCs w:val="24"/>
        </w:rPr>
        <w:t>s</w:t>
      </w:r>
      <w:r w:rsidR="008532AC">
        <w:rPr>
          <w:szCs w:val="24"/>
        </w:rPr>
        <w:t>.</w:t>
      </w:r>
    </w:p>
    <w:p w14:paraId="25457078" w14:textId="5076C320" w:rsidR="000152FC" w:rsidRDefault="000152FC" w:rsidP="008532AC">
      <w:pPr>
        <w:pStyle w:val="ListParagraph"/>
        <w:numPr>
          <w:ilvl w:val="0"/>
          <w:numId w:val="9"/>
        </w:numPr>
        <w:tabs>
          <w:tab w:val="left" w:pos="0"/>
        </w:tabs>
        <w:spacing w:after="120"/>
        <w:ind w:left="2154" w:hanging="357"/>
        <w:contextualSpacing w:val="0"/>
        <w:jc w:val="both"/>
        <w:rPr>
          <w:szCs w:val="24"/>
        </w:rPr>
      </w:pPr>
      <w:r>
        <w:rPr>
          <w:szCs w:val="24"/>
        </w:rPr>
        <w:t>The c</w:t>
      </w:r>
      <w:r w:rsidR="002D2824">
        <w:rPr>
          <w:szCs w:val="24"/>
        </w:rPr>
        <w:t>ulpability and past history of the offender.</w:t>
      </w:r>
    </w:p>
    <w:p w14:paraId="77287412" w14:textId="5C2EF4B1" w:rsidR="002D2824" w:rsidRDefault="002D2824" w:rsidP="008532AC">
      <w:pPr>
        <w:pStyle w:val="ListParagraph"/>
        <w:numPr>
          <w:ilvl w:val="0"/>
          <w:numId w:val="9"/>
        </w:numPr>
        <w:tabs>
          <w:tab w:val="left" w:pos="0"/>
        </w:tabs>
        <w:spacing w:after="120"/>
        <w:ind w:left="2154" w:hanging="357"/>
        <w:contextualSpacing w:val="0"/>
        <w:jc w:val="both"/>
        <w:rPr>
          <w:szCs w:val="24"/>
        </w:rPr>
      </w:pPr>
      <w:r>
        <w:rPr>
          <w:szCs w:val="24"/>
        </w:rPr>
        <w:t xml:space="preserve">The harm </w:t>
      </w:r>
      <w:r w:rsidR="008532AC">
        <w:rPr>
          <w:szCs w:val="24"/>
        </w:rPr>
        <w:t>c</w:t>
      </w:r>
      <w:r>
        <w:rPr>
          <w:szCs w:val="24"/>
        </w:rPr>
        <w:t>a</w:t>
      </w:r>
      <w:r w:rsidR="008532AC">
        <w:rPr>
          <w:szCs w:val="24"/>
        </w:rPr>
        <w:t>u</w:t>
      </w:r>
      <w:r>
        <w:rPr>
          <w:szCs w:val="24"/>
        </w:rPr>
        <w:t>s</w:t>
      </w:r>
      <w:r w:rsidR="008532AC">
        <w:rPr>
          <w:szCs w:val="24"/>
        </w:rPr>
        <w:t>ed</w:t>
      </w:r>
      <w:r>
        <w:rPr>
          <w:szCs w:val="24"/>
        </w:rPr>
        <w:t xml:space="preserve"> to the tenant/</w:t>
      </w:r>
      <w:r w:rsidR="00EF681A">
        <w:rPr>
          <w:szCs w:val="24"/>
        </w:rPr>
        <w:t>s</w:t>
      </w:r>
      <w:r w:rsidR="008532AC">
        <w:rPr>
          <w:szCs w:val="24"/>
        </w:rPr>
        <w:t>.</w:t>
      </w:r>
    </w:p>
    <w:p w14:paraId="2B2082E3" w14:textId="07BFD32B" w:rsidR="002D2824" w:rsidRDefault="002D2824" w:rsidP="008532AC">
      <w:pPr>
        <w:pStyle w:val="ListParagraph"/>
        <w:numPr>
          <w:ilvl w:val="0"/>
          <w:numId w:val="9"/>
        </w:numPr>
        <w:tabs>
          <w:tab w:val="left" w:pos="0"/>
        </w:tabs>
        <w:spacing w:after="120"/>
        <w:ind w:left="2154" w:hanging="357"/>
        <w:contextualSpacing w:val="0"/>
        <w:jc w:val="both"/>
        <w:rPr>
          <w:szCs w:val="24"/>
        </w:rPr>
      </w:pPr>
      <w:r>
        <w:rPr>
          <w:szCs w:val="24"/>
        </w:rPr>
        <w:t>That the penalty should act as a deterrent to repeating the offence.</w:t>
      </w:r>
    </w:p>
    <w:p w14:paraId="6514CBCC" w14:textId="7715B457" w:rsidR="002D2824" w:rsidRDefault="002D2824" w:rsidP="008532AC">
      <w:pPr>
        <w:pStyle w:val="ListParagraph"/>
        <w:numPr>
          <w:ilvl w:val="0"/>
          <w:numId w:val="9"/>
        </w:numPr>
        <w:tabs>
          <w:tab w:val="left" w:pos="0"/>
        </w:tabs>
        <w:spacing w:after="240"/>
        <w:ind w:left="2154" w:right="567" w:hanging="357"/>
        <w:contextualSpacing w:val="0"/>
        <w:jc w:val="both"/>
        <w:rPr>
          <w:szCs w:val="24"/>
        </w:rPr>
      </w:pPr>
      <w:r>
        <w:rPr>
          <w:szCs w:val="24"/>
        </w:rPr>
        <w:t>That the penalty should remove any financial ben</w:t>
      </w:r>
      <w:r w:rsidR="00AE6A23">
        <w:rPr>
          <w:szCs w:val="24"/>
        </w:rPr>
        <w:t>efit obtained as a result of committing the offence.</w:t>
      </w:r>
    </w:p>
    <w:p w14:paraId="16B456A8" w14:textId="62237EDB" w:rsidR="00AE6A23" w:rsidRDefault="00AE6A23" w:rsidP="008532AC">
      <w:pPr>
        <w:pStyle w:val="ListParagraph"/>
        <w:tabs>
          <w:tab w:val="left" w:pos="0"/>
        </w:tabs>
        <w:spacing w:after="240"/>
        <w:ind w:left="2160" w:right="567" w:hanging="1026"/>
        <w:contextualSpacing w:val="0"/>
        <w:jc w:val="both"/>
        <w:rPr>
          <w:szCs w:val="24"/>
        </w:rPr>
      </w:pPr>
      <w:r>
        <w:rPr>
          <w:szCs w:val="24"/>
        </w:rPr>
        <w:t>6. In particular, the Authority</w:t>
      </w:r>
      <w:r w:rsidR="00C96465">
        <w:rPr>
          <w:szCs w:val="24"/>
        </w:rPr>
        <w:t xml:space="preserve"> has considered:</w:t>
      </w:r>
    </w:p>
    <w:p w14:paraId="5B5DB436" w14:textId="0A272397" w:rsidR="008532AC" w:rsidRDefault="00C96465" w:rsidP="008532AC">
      <w:pPr>
        <w:pStyle w:val="ListParagraph"/>
        <w:numPr>
          <w:ilvl w:val="0"/>
          <w:numId w:val="9"/>
        </w:numPr>
        <w:tabs>
          <w:tab w:val="left" w:pos="0"/>
        </w:tabs>
        <w:spacing w:after="120"/>
        <w:ind w:left="2154" w:right="567" w:hanging="357"/>
        <w:contextualSpacing w:val="0"/>
        <w:jc w:val="both"/>
        <w:rPr>
          <w:szCs w:val="24"/>
        </w:rPr>
      </w:pPr>
      <w:r>
        <w:rPr>
          <w:szCs w:val="24"/>
        </w:rPr>
        <w:t>You let the property to unrelated tenants and were aware that the property was occupied by five occupants in four unrelated h</w:t>
      </w:r>
      <w:r w:rsidR="008532AC">
        <w:rPr>
          <w:szCs w:val="24"/>
        </w:rPr>
        <w:t>ouse</w:t>
      </w:r>
      <w:r>
        <w:rPr>
          <w:szCs w:val="24"/>
        </w:rPr>
        <w:t>hold</w:t>
      </w:r>
      <w:r w:rsidR="00EF681A">
        <w:rPr>
          <w:szCs w:val="24"/>
        </w:rPr>
        <w:t>s</w:t>
      </w:r>
      <w:r w:rsidR="00326468">
        <w:rPr>
          <w:szCs w:val="24"/>
        </w:rPr>
        <w:t>.</w:t>
      </w:r>
    </w:p>
    <w:p w14:paraId="3C3014F3" w14:textId="77777777" w:rsidR="008532AC" w:rsidRDefault="00C96465" w:rsidP="008532AC">
      <w:pPr>
        <w:pStyle w:val="ListParagraph"/>
        <w:numPr>
          <w:ilvl w:val="0"/>
          <w:numId w:val="9"/>
        </w:numPr>
        <w:tabs>
          <w:tab w:val="left" w:pos="0"/>
        </w:tabs>
        <w:spacing w:after="120"/>
        <w:ind w:left="2154" w:right="567" w:hanging="357"/>
        <w:contextualSpacing w:val="0"/>
        <w:jc w:val="both"/>
        <w:rPr>
          <w:szCs w:val="24"/>
        </w:rPr>
      </w:pPr>
      <w:r w:rsidRPr="008532AC">
        <w:rPr>
          <w:szCs w:val="24"/>
        </w:rPr>
        <w:t>In order to fall outside of licensing requirements there should be no more than four residents in the property.</w:t>
      </w:r>
    </w:p>
    <w:p w14:paraId="7BD35154" w14:textId="77777777" w:rsidR="008532AC" w:rsidRDefault="00C96465" w:rsidP="008532AC">
      <w:pPr>
        <w:pStyle w:val="ListParagraph"/>
        <w:numPr>
          <w:ilvl w:val="0"/>
          <w:numId w:val="9"/>
        </w:numPr>
        <w:tabs>
          <w:tab w:val="left" w:pos="0"/>
        </w:tabs>
        <w:spacing w:after="120"/>
        <w:ind w:left="2154" w:right="567" w:hanging="357"/>
        <w:contextualSpacing w:val="0"/>
        <w:jc w:val="both"/>
        <w:rPr>
          <w:szCs w:val="24"/>
        </w:rPr>
      </w:pPr>
      <w:r w:rsidRPr="008532AC">
        <w:rPr>
          <w:szCs w:val="24"/>
        </w:rPr>
        <w:t>You took no steps to reduce numbers in the property.</w:t>
      </w:r>
    </w:p>
    <w:p w14:paraId="4A863A1F" w14:textId="0813D4B1" w:rsidR="00C96465" w:rsidRPr="008532AC" w:rsidRDefault="00C96465" w:rsidP="008532AC">
      <w:pPr>
        <w:pStyle w:val="ListParagraph"/>
        <w:numPr>
          <w:ilvl w:val="0"/>
          <w:numId w:val="9"/>
        </w:numPr>
        <w:tabs>
          <w:tab w:val="left" w:pos="0"/>
        </w:tabs>
        <w:spacing w:after="360"/>
        <w:ind w:left="2154" w:right="567" w:hanging="357"/>
        <w:contextualSpacing w:val="0"/>
        <w:jc w:val="both"/>
        <w:rPr>
          <w:szCs w:val="24"/>
        </w:rPr>
      </w:pPr>
      <w:r w:rsidRPr="008532AC">
        <w:rPr>
          <w:szCs w:val="24"/>
        </w:rPr>
        <w:t>You did not approach the “Council” for a house of multiple occupation exemption for the period the property became</w:t>
      </w:r>
      <w:r w:rsidR="00F1694E" w:rsidRPr="008532AC">
        <w:rPr>
          <w:szCs w:val="24"/>
        </w:rPr>
        <w:t xml:space="preserve"> licensable.”</w:t>
      </w:r>
    </w:p>
    <w:p w14:paraId="02271F62" w14:textId="6FEBD630" w:rsidR="00364EE9" w:rsidRDefault="00F1694E" w:rsidP="006F7ED1">
      <w:pPr>
        <w:pStyle w:val="ListParagraph"/>
        <w:numPr>
          <w:ilvl w:val="0"/>
          <w:numId w:val="7"/>
        </w:numPr>
        <w:tabs>
          <w:tab w:val="left" w:pos="0"/>
        </w:tabs>
        <w:spacing w:after="360"/>
        <w:ind w:left="567" w:hanging="567"/>
        <w:contextualSpacing w:val="0"/>
        <w:jc w:val="both"/>
        <w:rPr>
          <w:szCs w:val="24"/>
        </w:rPr>
      </w:pPr>
      <w:r>
        <w:rPr>
          <w:szCs w:val="24"/>
        </w:rPr>
        <w:t>The notice of intent concluded by inviting the respondent to make written representations within 28 days and suggested she might wish to take advice.  Attached to the notice w</w:t>
      </w:r>
      <w:r w:rsidR="006F7ED1">
        <w:rPr>
          <w:szCs w:val="24"/>
        </w:rPr>
        <w:t>ere</w:t>
      </w:r>
      <w:r>
        <w:rPr>
          <w:szCs w:val="24"/>
        </w:rPr>
        <w:t xml:space="preserve"> notes set</w:t>
      </w:r>
      <w:r w:rsidR="006F7ED1">
        <w:rPr>
          <w:szCs w:val="24"/>
        </w:rPr>
        <w:t>ting</w:t>
      </w:r>
      <w:r>
        <w:rPr>
          <w:szCs w:val="24"/>
        </w:rPr>
        <w:t xml:space="preserve"> out the text of </w:t>
      </w:r>
      <w:r w:rsidR="00EF681A">
        <w:rPr>
          <w:szCs w:val="24"/>
        </w:rPr>
        <w:t>section</w:t>
      </w:r>
      <w:r w:rsidR="006F7ED1">
        <w:rPr>
          <w:szCs w:val="24"/>
        </w:rPr>
        <w:t xml:space="preserve"> </w:t>
      </w:r>
      <w:r>
        <w:rPr>
          <w:szCs w:val="24"/>
        </w:rPr>
        <w:t xml:space="preserve">249A and </w:t>
      </w:r>
      <w:r w:rsidR="00F87309">
        <w:rPr>
          <w:szCs w:val="24"/>
        </w:rPr>
        <w:t>paragraph</w:t>
      </w:r>
      <w:r w:rsidR="006F7ED1">
        <w:rPr>
          <w:szCs w:val="24"/>
        </w:rPr>
        <w:t>s</w:t>
      </w:r>
      <w:r w:rsidR="00F87309">
        <w:rPr>
          <w:szCs w:val="24"/>
        </w:rPr>
        <w:t xml:space="preserve"> </w:t>
      </w:r>
      <w:r w:rsidR="002C1750">
        <w:rPr>
          <w:szCs w:val="24"/>
        </w:rPr>
        <w:t>1</w:t>
      </w:r>
      <w:r w:rsidR="006F7ED1">
        <w:rPr>
          <w:szCs w:val="24"/>
        </w:rPr>
        <w:t xml:space="preserve"> to </w:t>
      </w:r>
      <w:r w:rsidR="002C1750">
        <w:rPr>
          <w:szCs w:val="24"/>
        </w:rPr>
        <w:t>4</w:t>
      </w:r>
      <w:r w:rsidR="00326468">
        <w:rPr>
          <w:szCs w:val="24"/>
        </w:rPr>
        <w:t xml:space="preserve"> of</w:t>
      </w:r>
      <w:r w:rsidR="002C1750">
        <w:rPr>
          <w:szCs w:val="24"/>
        </w:rPr>
        <w:t xml:space="preserve"> </w:t>
      </w:r>
      <w:r w:rsidR="00326468" w:rsidRPr="00326468">
        <w:rPr>
          <w:szCs w:val="24"/>
        </w:rPr>
        <w:t>Schedule 13A</w:t>
      </w:r>
      <w:r w:rsidR="00326468">
        <w:rPr>
          <w:szCs w:val="24"/>
        </w:rPr>
        <w:t>,</w:t>
      </w:r>
      <w:r w:rsidR="00326468" w:rsidRPr="00326468">
        <w:rPr>
          <w:szCs w:val="24"/>
        </w:rPr>
        <w:t xml:space="preserve"> </w:t>
      </w:r>
      <w:r w:rsidR="002C1750">
        <w:rPr>
          <w:szCs w:val="24"/>
        </w:rPr>
        <w:t>2004 Act.</w:t>
      </w:r>
      <w:r w:rsidR="006F7ED1">
        <w:rPr>
          <w:szCs w:val="24"/>
        </w:rPr>
        <w:t xml:space="preserve">  The note</w:t>
      </w:r>
      <w:r w:rsidR="00326468">
        <w:rPr>
          <w:szCs w:val="24"/>
        </w:rPr>
        <w:t>s</w:t>
      </w:r>
      <w:r w:rsidR="006F7ED1">
        <w:rPr>
          <w:szCs w:val="24"/>
        </w:rPr>
        <w:t xml:space="preserve"> did not refer to regulation 4 of the 2006 Regulations, which might have been more useful, but full copies of the Regulations had </w:t>
      </w:r>
      <w:r w:rsidR="00326468">
        <w:rPr>
          <w:szCs w:val="24"/>
        </w:rPr>
        <w:t xml:space="preserve">previously </w:t>
      </w:r>
      <w:r w:rsidR="006F7ED1">
        <w:rPr>
          <w:szCs w:val="24"/>
        </w:rPr>
        <w:t xml:space="preserve">been supplied to the respondent by the Council on a number of occasions, most recently in June 2019.  </w:t>
      </w:r>
    </w:p>
    <w:p w14:paraId="5F20A694" w14:textId="77777777" w:rsidR="004F5468" w:rsidRDefault="002C1750" w:rsidP="006F7ED1">
      <w:pPr>
        <w:pStyle w:val="ListParagraph"/>
        <w:numPr>
          <w:ilvl w:val="0"/>
          <w:numId w:val="7"/>
        </w:numPr>
        <w:tabs>
          <w:tab w:val="left" w:pos="0"/>
        </w:tabs>
        <w:spacing w:after="360"/>
        <w:ind w:left="567" w:hanging="567"/>
        <w:contextualSpacing w:val="0"/>
        <w:jc w:val="both"/>
        <w:rPr>
          <w:szCs w:val="24"/>
        </w:rPr>
      </w:pPr>
      <w:r>
        <w:rPr>
          <w:szCs w:val="24"/>
        </w:rPr>
        <w:t xml:space="preserve">The second of the notices of intent served on 2 February 2022 informed the respondent of the </w:t>
      </w:r>
      <w:r w:rsidR="007F7743">
        <w:rPr>
          <w:szCs w:val="24"/>
        </w:rPr>
        <w:t>Council</w:t>
      </w:r>
      <w:r>
        <w:rPr>
          <w:szCs w:val="24"/>
        </w:rPr>
        <w:t>’s intention to impose a financial penalty of £1,000</w:t>
      </w:r>
      <w:r w:rsidR="006F7ED1">
        <w:rPr>
          <w:szCs w:val="24"/>
        </w:rPr>
        <w:t xml:space="preserve"> for breach of regulation 7 of the 2006 Regulations</w:t>
      </w:r>
      <w:r w:rsidR="00577A4F">
        <w:rPr>
          <w:szCs w:val="24"/>
        </w:rPr>
        <w:t xml:space="preserve">.  The reasons given </w:t>
      </w:r>
      <w:r w:rsidR="006F7ED1">
        <w:rPr>
          <w:szCs w:val="24"/>
        </w:rPr>
        <w:t xml:space="preserve">were in the same form as in </w:t>
      </w:r>
      <w:r w:rsidR="004F5468">
        <w:rPr>
          <w:szCs w:val="24"/>
        </w:rPr>
        <w:t xml:space="preserve">paragraph 3 of </w:t>
      </w:r>
      <w:r w:rsidR="006F7ED1">
        <w:rPr>
          <w:szCs w:val="24"/>
        </w:rPr>
        <w:t>t</w:t>
      </w:r>
      <w:r w:rsidR="00577A4F">
        <w:rPr>
          <w:szCs w:val="24"/>
        </w:rPr>
        <w:t>he</w:t>
      </w:r>
      <w:r w:rsidR="00DA18C8">
        <w:rPr>
          <w:szCs w:val="24"/>
        </w:rPr>
        <w:t xml:space="preserve"> </w:t>
      </w:r>
      <w:r w:rsidR="006F7ED1">
        <w:rPr>
          <w:szCs w:val="24"/>
        </w:rPr>
        <w:lastRenderedPageBreak/>
        <w:t>first</w:t>
      </w:r>
      <w:r w:rsidR="00DA18C8">
        <w:rPr>
          <w:szCs w:val="24"/>
        </w:rPr>
        <w:t xml:space="preserve"> notice,</w:t>
      </w:r>
      <w:r w:rsidR="006F7ED1">
        <w:rPr>
          <w:szCs w:val="24"/>
        </w:rPr>
        <w:t xml:space="preserve"> substituting </w:t>
      </w:r>
      <w:r w:rsidR="00DA18C8">
        <w:rPr>
          <w:szCs w:val="24"/>
        </w:rPr>
        <w:t>regulation 7</w:t>
      </w:r>
      <w:r w:rsidR="006F7ED1">
        <w:rPr>
          <w:szCs w:val="24"/>
        </w:rPr>
        <w:t xml:space="preserve"> for the reference to regulation 4</w:t>
      </w:r>
      <w:r w:rsidR="004F5468">
        <w:rPr>
          <w:szCs w:val="24"/>
        </w:rPr>
        <w:t>,</w:t>
      </w:r>
      <w:r w:rsidR="00DA18C8">
        <w:rPr>
          <w:szCs w:val="24"/>
        </w:rPr>
        <w:t xml:space="preserve"> </w:t>
      </w:r>
      <w:r w:rsidR="004F5468">
        <w:rPr>
          <w:szCs w:val="24"/>
        </w:rPr>
        <w:t>and then providing the following explanation</w:t>
      </w:r>
      <w:r w:rsidR="00D24C68">
        <w:rPr>
          <w:szCs w:val="24"/>
        </w:rPr>
        <w:t>:</w:t>
      </w:r>
    </w:p>
    <w:p w14:paraId="6021DD9E" w14:textId="77777777" w:rsidR="004F5468" w:rsidRDefault="00D24C68" w:rsidP="004F5468">
      <w:pPr>
        <w:pStyle w:val="ListParagraph"/>
        <w:tabs>
          <w:tab w:val="left" w:pos="0"/>
        </w:tabs>
        <w:spacing w:after="360"/>
        <w:ind w:left="1134" w:right="567"/>
        <w:contextualSpacing w:val="0"/>
        <w:jc w:val="both"/>
        <w:rPr>
          <w:szCs w:val="24"/>
        </w:rPr>
      </w:pPr>
      <w:r>
        <w:rPr>
          <w:szCs w:val="24"/>
        </w:rPr>
        <w:t>“Because</w:t>
      </w:r>
      <w:r w:rsidR="004F5468">
        <w:rPr>
          <w:szCs w:val="24"/>
        </w:rPr>
        <w:t>:  D</w:t>
      </w:r>
      <w:r>
        <w:rPr>
          <w:szCs w:val="24"/>
        </w:rPr>
        <w:t>uring a routine Licenc</w:t>
      </w:r>
      <w:r w:rsidR="000262E9">
        <w:rPr>
          <w:szCs w:val="24"/>
        </w:rPr>
        <w:t>ed House of Multiple Occupation inspection on 27 October 2021 there was poor management and disrepair</w:t>
      </w:r>
      <w:r w:rsidR="004F5468">
        <w:rPr>
          <w:szCs w:val="24"/>
        </w:rPr>
        <w:t>,</w:t>
      </w:r>
      <w:r w:rsidR="000262E9">
        <w:rPr>
          <w:szCs w:val="24"/>
        </w:rPr>
        <w:t xml:space="preserve"> and poorly maintained deficiencies were identified at the premise</w:t>
      </w:r>
      <w:r w:rsidR="00EF681A">
        <w:rPr>
          <w:szCs w:val="24"/>
        </w:rPr>
        <w:t>s</w:t>
      </w:r>
      <w:r w:rsidR="004F5468">
        <w:rPr>
          <w:szCs w:val="24"/>
        </w:rPr>
        <w:t>.</w:t>
      </w:r>
      <w:r w:rsidR="000262E9">
        <w:rPr>
          <w:szCs w:val="24"/>
        </w:rPr>
        <w:t xml:space="preserve">” </w:t>
      </w:r>
    </w:p>
    <w:p w14:paraId="7D63479A" w14:textId="003560E1" w:rsidR="002C1750" w:rsidRDefault="000262E9" w:rsidP="004F5468">
      <w:pPr>
        <w:pStyle w:val="ListParagraph"/>
        <w:tabs>
          <w:tab w:val="left" w:pos="0"/>
        </w:tabs>
        <w:spacing w:after="360"/>
        <w:ind w:left="567"/>
        <w:contextualSpacing w:val="0"/>
        <w:jc w:val="both"/>
        <w:rPr>
          <w:szCs w:val="24"/>
        </w:rPr>
      </w:pPr>
      <w:r>
        <w:rPr>
          <w:szCs w:val="24"/>
        </w:rPr>
        <w:t xml:space="preserve">The remainder of the </w:t>
      </w:r>
      <w:r w:rsidR="004F5468">
        <w:rPr>
          <w:szCs w:val="24"/>
        </w:rPr>
        <w:t xml:space="preserve">second </w:t>
      </w:r>
      <w:r>
        <w:rPr>
          <w:szCs w:val="24"/>
        </w:rPr>
        <w:t xml:space="preserve">notice was </w:t>
      </w:r>
      <w:r w:rsidR="00CE2558">
        <w:rPr>
          <w:szCs w:val="24"/>
        </w:rPr>
        <w:t>in</w:t>
      </w:r>
      <w:r>
        <w:rPr>
          <w:szCs w:val="24"/>
        </w:rPr>
        <w:t xml:space="preserve"> identical t</w:t>
      </w:r>
      <w:r w:rsidR="00CE2558">
        <w:rPr>
          <w:szCs w:val="24"/>
        </w:rPr>
        <w:t xml:space="preserve">erms to the </w:t>
      </w:r>
      <w:r w:rsidR="004F5468">
        <w:rPr>
          <w:szCs w:val="24"/>
        </w:rPr>
        <w:t>first, as quoted above.</w:t>
      </w:r>
      <w:r w:rsidR="00CE2558">
        <w:rPr>
          <w:szCs w:val="24"/>
        </w:rPr>
        <w:t xml:space="preserve"> </w:t>
      </w:r>
    </w:p>
    <w:p w14:paraId="5C46211C" w14:textId="7419117C" w:rsidR="00CE2558" w:rsidRDefault="008658C5" w:rsidP="006F7ED1">
      <w:pPr>
        <w:pStyle w:val="ListParagraph"/>
        <w:numPr>
          <w:ilvl w:val="0"/>
          <w:numId w:val="7"/>
        </w:numPr>
        <w:tabs>
          <w:tab w:val="left" w:pos="0"/>
        </w:tabs>
        <w:spacing w:after="360"/>
        <w:ind w:left="567" w:hanging="567"/>
        <w:contextualSpacing w:val="0"/>
        <w:jc w:val="both"/>
        <w:rPr>
          <w:szCs w:val="24"/>
        </w:rPr>
      </w:pPr>
      <w:r>
        <w:rPr>
          <w:szCs w:val="24"/>
        </w:rPr>
        <w:t>The respondent did not reply to the notices of intent.</w:t>
      </w:r>
    </w:p>
    <w:p w14:paraId="69A9E1C6" w14:textId="143B62BF" w:rsidR="00C173C1" w:rsidRDefault="008658C5" w:rsidP="006F7ED1">
      <w:pPr>
        <w:pStyle w:val="ListParagraph"/>
        <w:numPr>
          <w:ilvl w:val="0"/>
          <w:numId w:val="7"/>
        </w:numPr>
        <w:tabs>
          <w:tab w:val="left" w:pos="0"/>
        </w:tabs>
        <w:spacing w:after="360"/>
        <w:ind w:left="567" w:hanging="567"/>
        <w:contextualSpacing w:val="0"/>
        <w:jc w:val="both"/>
        <w:rPr>
          <w:szCs w:val="24"/>
        </w:rPr>
      </w:pPr>
      <w:r>
        <w:rPr>
          <w:szCs w:val="24"/>
        </w:rPr>
        <w:t xml:space="preserve">On 17 March 2022 the </w:t>
      </w:r>
      <w:r w:rsidR="007F7743">
        <w:rPr>
          <w:szCs w:val="24"/>
        </w:rPr>
        <w:t>Council</w:t>
      </w:r>
      <w:r>
        <w:rPr>
          <w:szCs w:val="24"/>
        </w:rPr>
        <w:t xml:space="preserve"> served th</w:t>
      </w:r>
      <w:r w:rsidR="004F5468">
        <w:rPr>
          <w:szCs w:val="24"/>
        </w:rPr>
        <w:t>re</w:t>
      </w:r>
      <w:r>
        <w:rPr>
          <w:szCs w:val="24"/>
        </w:rPr>
        <w:t xml:space="preserve">e final notices confirming the financial penalties which had been proposed in the three notices of intent.  This time, however, the </w:t>
      </w:r>
      <w:r w:rsidR="007F7743">
        <w:rPr>
          <w:szCs w:val="24"/>
        </w:rPr>
        <w:t>Council</w:t>
      </w:r>
      <w:r>
        <w:rPr>
          <w:szCs w:val="24"/>
        </w:rPr>
        <w:t xml:space="preserve"> provided considerable detail concerning its reasons for imposing the penaltie</w:t>
      </w:r>
      <w:r w:rsidR="00EF681A">
        <w:rPr>
          <w:szCs w:val="24"/>
        </w:rPr>
        <w:t>s</w:t>
      </w:r>
      <w:r w:rsidR="004F5468">
        <w:rPr>
          <w:szCs w:val="24"/>
        </w:rPr>
        <w:t>.</w:t>
      </w:r>
      <w:r>
        <w:rPr>
          <w:szCs w:val="24"/>
        </w:rPr>
        <w:t xml:space="preserve"> </w:t>
      </w:r>
      <w:r w:rsidR="004F5468">
        <w:rPr>
          <w:szCs w:val="24"/>
        </w:rPr>
        <w:t xml:space="preserve"> </w:t>
      </w:r>
    </w:p>
    <w:p w14:paraId="466A1045" w14:textId="75A9B12F" w:rsidR="00C173C1" w:rsidRDefault="00BA62FC" w:rsidP="006F7ED1">
      <w:pPr>
        <w:pStyle w:val="ListParagraph"/>
        <w:numPr>
          <w:ilvl w:val="0"/>
          <w:numId w:val="7"/>
        </w:numPr>
        <w:tabs>
          <w:tab w:val="left" w:pos="0"/>
        </w:tabs>
        <w:spacing w:after="360"/>
        <w:ind w:left="567" w:hanging="567"/>
        <w:contextualSpacing w:val="0"/>
        <w:jc w:val="both"/>
        <w:rPr>
          <w:szCs w:val="24"/>
        </w:rPr>
      </w:pPr>
      <w:r>
        <w:rPr>
          <w:szCs w:val="24"/>
        </w:rPr>
        <w:t>T</w:t>
      </w:r>
      <w:r w:rsidR="004F5468">
        <w:rPr>
          <w:szCs w:val="24"/>
        </w:rPr>
        <w:t>he firs</w:t>
      </w:r>
      <w:r w:rsidR="008658C5">
        <w:rPr>
          <w:szCs w:val="24"/>
        </w:rPr>
        <w:t>t</w:t>
      </w:r>
      <w:r w:rsidR="004F5468">
        <w:rPr>
          <w:szCs w:val="24"/>
        </w:rPr>
        <w:t xml:space="preserve"> </w:t>
      </w:r>
      <w:r w:rsidR="00C173C1">
        <w:rPr>
          <w:szCs w:val="24"/>
        </w:rPr>
        <w:t>of the three</w:t>
      </w:r>
      <w:r w:rsidR="004F5468">
        <w:rPr>
          <w:szCs w:val="24"/>
        </w:rPr>
        <w:t xml:space="preserve"> notice</w:t>
      </w:r>
      <w:r w:rsidR="00C173C1">
        <w:rPr>
          <w:szCs w:val="24"/>
        </w:rPr>
        <w:t>s</w:t>
      </w:r>
      <w:r w:rsidR="004F5468">
        <w:rPr>
          <w:szCs w:val="24"/>
        </w:rPr>
        <w:t xml:space="preserve"> </w:t>
      </w:r>
      <w:r w:rsidR="008658C5">
        <w:rPr>
          <w:szCs w:val="24"/>
        </w:rPr>
        <w:t>listed the deficiencies in fire precautions which t</w:t>
      </w:r>
      <w:r>
        <w:rPr>
          <w:szCs w:val="24"/>
        </w:rPr>
        <w:t>he Council</w:t>
      </w:r>
      <w:r w:rsidR="008658C5">
        <w:rPr>
          <w:szCs w:val="24"/>
        </w:rPr>
        <w:t xml:space="preserve"> considered </w:t>
      </w:r>
      <w:r w:rsidR="004F5468">
        <w:rPr>
          <w:szCs w:val="24"/>
        </w:rPr>
        <w:t xml:space="preserve">to be </w:t>
      </w:r>
      <w:r w:rsidR="008658C5">
        <w:rPr>
          <w:szCs w:val="24"/>
        </w:rPr>
        <w:t>breach</w:t>
      </w:r>
      <w:r w:rsidR="004F5468">
        <w:rPr>
          <w:szCs w:val="24"/>
        </w:rPr>
        <w:t>es</w:t>
      </w:r>
      <w:r w:rsidR="008658C5">
        <w:rPr>
          <w:szCs w:val="24"/>
        </w:rPr>
        <w:t xml:space="preserve"> of regulation 4 of the 2006 Regulation</w:t>
      </w:r>
      <w:r w:rsidR="00EF681A">
        <w:rPr>
          <w:szCs w:val="24"/>
        </w:rPr>
        <w:t>s</w:t>
      </w:r>
      <w:r w:rsidR="004F5468">
        <w:rPr>
          <w:szCs w:val="24"/>
        </w:rPr>
        <w:t xml:space="preserve">, dividing them into three categories and </w:t>
      </w:r>
      <w:r w:rsidR="004F5468" w:rsidRPr="004F5468">
        <w:rPr>
          <w:szCs w:val="24"/>
        </w:rPr>
        <w:t>incorporat</w:t>
      </w:r>
      <w:r w:rsidR="004F5468">
        <w:rPr>
          <w:szCs w:val="24"/>
        </w:rPr>
        <w:t>ing</w:t>
      </w:r>
      <w:r w:rsidR="004F5468" w:rsidRPr="004F5468">
        <w:rPr>
          <w:szCs w:val="24"/>
        </w:rPr>
        <w:t xml:space="preserve"> the</w:t>
      </w:r>
      <w:r w:rsidR="004F5468">
        <w:rPr>
          <w:szCs w:val="24"/>
        </w:rPr>
        <w:t xml:space="preserve"> text of the</w:t>
      </w:r>
      <w:r w:rsidR="004F5468" w:rsidRPr="004F5468">
        <w:rPr>
          <w:szCs w:val="24"/>
        </w:rPr>
        <w:t xml:space="preserve"> relevant</w:t>
      </w:r>
      <w:r w:rsidR="004F5468">
        <w:rPr>
          <w:szCs w:val="24"/>
        </w:rPr>
        <w:t xml:space="preserve"> part of the regulation </w:t>
      </w:r>
      <w:r w:rsidR="00C173C1">
        <w:rPr>
          <w:szCs w:val="24"/>
        </w:rPr>
        <w:t>breached in each ca</w:t>
      </w:r>
      <w:r>
        <w:rPr>
          <w:szCs w:val="24"/>
        </w:rPr>
        <w:t>s</w:t>
      </w:r>
      <w:r w:rsidR="00C173C1">
        <w:rPr>
          <w:szCs w:val="24"/>
        </w:rPr>
        <w:t>e</w:t>
      </w:r>
      <w:r w:rsidR="004F5468">
        <w:rPr>
          <w:szCs w:val="24"/>
        </w:rPr>
        <w:t>.</w:t>
      </w:r>
      <w:r w:rsidR="00C173C1">
        <w:rPr>
          <w:szCs w:val="24"/>
        </w:rPr>
        <w:t xml:space="preserve">  Thus, the first category referred to the missing smoke and heat detector heads, the missing fire </w:t>
      </w:r>
      <w:proofErr w:type="gramStart"/>
      <w:r w:rsidR="00C173C1">
        <w:rPr>
          <w:szCs w:val="24"/>
        </w:rPr>
        <w:t>blanket</w:t>
      </w:r>
      <w:proofErr w:type="gramEnd"/>
      <w:r w:rsidR="00C173C1">
        <w:rPr>
          <w:szCs w:val="24"/>
        </w:rPr>
        <w:t xml:space="preserve"> and the fact that no valid fire alarm test certificate had been available at the inspection on 27 October 2021, and stated that these were breaches of regulation 4(2) (fire fighting equipment and fire alarms to be maintained in good working order).  Next, it was said that a protected fire escape route was obstructed by excess furniture, boxes and a large rolled carpet, all in breach of regulation 4(1)(a) (ensuring means of escape are free from obstruction).  Finally, the first floor emergency light did not illuminate when isolated from the lighting circuit</w:t>
      </w:r>
      <w:r>
        <w:rPr>
          <w:szCs w:val="24"/>
        </w:rPr>
        <w:t xml:space="preserve"> and there was no valid emergency lighting test certificate, both of which were said to be breaches of regulation 4(1)(b) (means of escape to be maintained in good repair).</w:t>
      </w:r>
      <w:r w:rsidR="004F5468">
        <w:rPr>
          <w:szCs w:val="24"/>
        </w:rPr>
        <w:t xml:space="preserve">   </w:t>
      </w:r>
    </w:p>
    <w:p w14:paraId="4CA8FB67" w14:textId="2CD078EE" w:rsidR="00BA62FC" w:rsidRDefault="00BA62FC" w:rsidP="006F7ED1">
      <w:pPr>
        <w:pStyle w:val="ListParagraph"/>
        <w:numPr>
          <w:ilvl w:val="0"/>
          <w:numId w:val="7"/>
        </w:numPr>
        <w:tabs>
          <w:tab w:val="left" w:pos="0"/>
        </w:tabs>
        <w:spacing w:after="360"/>
        <w:ind w:left="567" w:hanging="567"/>
        <w:contextualSpacing w:val="0"/>
        <w:jc w:val="both"/>
        <w:rPr>
          <w:szCs w:val="24"/>
        </w:rPr>
      </w:pPr>
      <w:r>
        <w:rPr>
          <w:szCs w:val="24"/>
        </w:rPr>
        <w:t>T</w:t>
      </w:r>
      <w:r w:rsidR="008658C5">
        <w:rPr>
          <w:szCs w:val="24"/>
        </w:rPr>
        <w:t>he</w:t>
      </w:r>
      <w:r w:rsidR="004F5468">
        <w:rPr>
          <w:szCs w:val="24"/>
        </w:rPr>
        <w:t xml:space="preserve"> second</w:t>
      </w:r>
      <w:r w:rsidR="008658C5">
        <w:rPr>
          <w:szCs w:val="24"/>
        </w:rPr>
        <w:t xml:space="preserve"> notice</w:t>
      </w:r>
      <w:r>
        <w:rPr>
          <w:szCs w:val="24"/>
        </w:rPr>
        <w:t xml:space="preserve"> p</w:t>
      </w:r>
      <w:r w:rsidR="001B7F13">
        <w:rPr>
          <w:szCs w:val="24"/>
        </w:rPr>
        <w:t>rovid</w:t>
      </w:r>
      <w:r>
        <w:rPr>
          <w:szCs w:val="24"/>
        </w:rPr>
        <w:t>ed s</w:t>
      </w:r>
      <w:r w:rsidR="001B7F13">
        <w:rPr>
          <w:szCs w:val="24"/>
        </w:rPr>
        <w:t>imil</w:t>
      </w:r>
      <w:r>
        <w:rPr>
          <w:szCs w:val="24"/>
        </w:rPr>
        <w:t>a</w:t>
      </w:r>
      <w:r w:rsidR="001B7F13">
        <w:rPr>
          <w:szCs w:val="24"/>
        </w:rPr>
        <w:t>r</w:t>
      </w:r>
      <w:r>
        <w:rPr>
          <w:szCs w:val="24"/>
        </w:rPr>
        <w:t xml:space="preserve"> detail</w:t>
      </w:r>
      <w:r w:rsidR="001B7F13">
        <w:rPr>
          <w:szCs w:val="24"/>
        </w:rPr>
        <w:t>s</w:t>
      </w:r>
      <w:r>
        <w:rPr>
          <w:szCs w:val="24"/>
        </w:rPr>
        <w:t xml:space="preserve"> concerning alleged breaches of</w:t>
      </w:r>
      <w:r w:rsidR="008658C5">
        <w:rPr>
          <w:szCs w:val="24"/>
        </w:rPr>
        <w:t xml:space="preserve"> regulation 7</w:t>
      </w:r>
      <w:r>
        <w:rPr>
          <w:szCs w:val="24"/>
        </w:rPr>
        <w:t xml:space="preserve">.  Thus, the manager was said to have </w:t>
      </w:r>
      <w:r w:rsidR="001B7F13">
        <w:rPr>
          <w:szCs w:val="24"/>
        </w:rPr>
        <w:t xml:space="preserve">failed to </w:t>
      </w:r>
      <w:r>
        <w:rPr>
          <w:szCs w:val="24"/>
        </w:rPr>
        <w:t>maintain the common parts in good clean decorative repair in breach of regulation 7(1)(a) because t</w:t>
      </w:r>
      <w:r w:rsidR="008658C5">
        <w:rPr>
          <w:szCs w:val="24"/>
        </w:rPr>
        <w:t xml:space="preserve">he </w:t>
      </w:r>
      <w:r w:rsidR="00716FE3">
        <w:rPr>
          <w:szCs w:val="24"/>
        </w:rPr>
        <w:t>first-floor</w:t>
      </w:r>
      <w:r w:rsidR="008658C5">
        <w:rPr>
          <w:szCs w:val="24"/>
        </w:rPr>
        <w:t xml:space="preserve"> </w:t>
      </w:r>
      <w:r w:rsidR="002C2494">
        <w:rPr>
          <w:szCs w:val="24"/>
        </w:rPr>
        <w:t>communal</w:t>
      </w:r>
      <w:r w:rsidR="008658C5">
        <w:rPr>
          <w:szCs w:val="24"/>
        </w:rPr>
        <w:t xml:space="preserve"> bathroom </w:t>
      </w:r>
      <w:r>
        <w:rPr>
          <w:szCs w:val="24"/>
        </w:rPr>
        <w:t>w</w:t>
      </w:r>
      <w:r w:rsidR="008658C5">
        <w:rPr>
          <w:szCs w:val="24"/>
        </w:rPr>
        <w:t>as</w:t>
      </w:r>
      <w:r>
        <w:rPr>
          <w:szCs w:val="24"/>
        </w:rPr>
        <w:t xml:space="preserve"> unclean and in poor decorative repair, with evidence of orange and black mould</w:t>
      </w:r>
      <w:r w:rsidR="001B7F13">
        <w:rPr>
          <w:szCs w:val="24"/>
        </w:rPr>
        <w:t>.  T</w:t>
      </w:r>
      <w:r>
        <w:rPr>
          <w:szCs w:val="24"/>
        </w:rPr>
        <w:t>he missi</w:t>
      </w:r>
      <w:r w:rsidR="008658C5">
        <w:rPr>
          <w:szCs w:val="24"/>
        </w:rPr>
        <w:t xml:space="preserve">ng spindle on the </w:t>
      </w:r>
      <w:r w:rsidR="002F2020">
        <w:rPr>
          <w:szCs w:val="24"/>
        </w:rPr>
        <w:t>first-floor</w:t>
      </w:r>
      <w:r w:rsidR="008658C5">
        <w:rPr>
          <w:szCs w:val="24"/>
        </w:rPr>
        <w:t xml:space="preserve"> stair guard </w:t>
      </w:r>
      <w:r>
        <w:rPr>
          <w:szCs w:val="24"/>
        </w:rPr>
        <w:t>w</w:t>
      </w:r>
      <w:r w:rsidR="008658C5">
        <w:rPr>
          <w:szCs w:val="24"/>
        </w:rPr>
        <w:t xml:space="preserve">as </w:t>
      </w:r>
      <w:r>
        <w:rPr>
          <w:szCs w:val="24"/>
        </w:rPr>
        <w:t>a</w:t>
      </w:r>
      <w:r w:rsidR="008658C5">
        <w:rPr>
          <w:szCs w:val="24"/>
        </w:rPr>
        <w:t xml:space="preserve"> breach of regulation</w:t>
      </w:r>
      <w:r w:rsidR="002C2494">
        <w:rPr>
          <w:szCs w:val="24"/>
        </w:rPr>
        <w:t xml:space="preserve"> 7(2)(a)</w:t>
      </w:r>
      <w:r>
        <w:rPr>
          <w:szCs w:val="24"/>
        </w:rPr>
        <w:t>, the requirement to keep handrails and bannisters in good repair</w:t>
      </w:r>
      <w:r w:rsidR="002C2494">
        <w:rPr>
          <w:szCs w:val="24"/>
        </w:rPr>
        <w:t xml:space="preserve">.  </w:t>
      </w:r>
    </w:p>
    <w:p w14:paraId="00C0A4E2" w14:textId="55E96F15" w:rsidR="008658C5" w:rsidRDefault="00BA62FC" w:rsidP="006F7ED1">
      <w:pPr>
        <w:pStyle w:val="ListParagraph"/>
        <w:numPr>
          <w:ilvl w:val="0"/>
          <w:numId w:val="7"/>
        </w:numPr>
        <w:tabs>
          <w:tab w:val="left" w:pos="0"/>
        </w:tabs>
        <w:spacing w:after="360"/>
        <w:ind w:left="567" w:hanging="567"/>
        <w:contextualSpacing w:val="0"/>
        <w:jc w:val="both"/>
        <w:rPr>
          <w:szCs w:val="24"/>
        </w:rPr>
      </w:pPr>
      <w:r>
        <w:rPr>
          <w:szCs w:val="24"/>
        </w:rPr>
        <w:t>T</w:t>
      </w:r>
      <w:r w:rsidR="007E220D">
        <w:rPr>
          <w:szCs w:val="24"/>
        </w:rPr>
        <w:t xml:space="preserve">he </w:t>
      </w:r>
      <w:r w:rsidR="007F7743">
        <w:rPr>
          <w:szCs w:val="24"/>
        </w:rPr>
        <w:t>Council</w:t>
      </w:r>
      <w:r w:rsidR="007E220D">
        <w:rPr>
          <w:szCs w:val="24"/>
        </w:rPr>
        <w:t xml:space="preserve"> also gave a </w:t>
      </w:r>
      <w:r>
        <w:rPr>
          <w:szCs w:val="24"/>
        </w:rPr>
        <w:t xml:space="preserve">specific and </w:t>
      </w:r>
      <w:r w:rsidRPr="00BA62FC">
        <w:rPr>
          <w:szCs w:val="24"/>
        </w:rPr>
        <w:t xml:space="preserve">fuller </w:t>
      </w:r>
      <w:r w:rsidR="007E220D">
        <w:rPr>
          <w:szCs w:val="24"/>
        </w:rPr>
        <w:t>explanation</w:t>
      </w:r>
      <w:r>
        <w:rPr>
          <w:szCs w:val="24"/>
        </w:rPr>
        <w:t xml:space="preserve"> in the final notices</w:t>
      </w:r>
      <w:r w:rsidR="007E220D">
        <w:rPr>
          <w:szCs w:val="24"/>
        </w:rPr>
        <w:t xml:space="preserve"> of why it considered a financial penalty was the most appropriate course of action.  </w:t>
      </w:r>
      <w:r>
        <w:rPr>
          <w:szCs w:val="24"/>
        </w:rPr>
        <w:t>I</w:t>
      </w:r>
      <w:r w:rsidR="007E220D">
        <w:rPr>
          <w:szCs w:val="24"/>
        </w:rPr>
        <w:t xml:space="preserve">t referred to the </w:t>
      </w:r>
      <w:r w:rsidR="007F7743">
        <w:rPr>
          <w:szCs w:val="24"/>
        </w:rPr>
        <w:t>Council</w:t>
      </w:r>
      <w:r w:rsidR="007E220D">
        <w:rPr>
          <w:szCs w:val="24"/>
        </w:rPr>
        <w:t>’s confidence that the offences could be proved beyond reasonable doubt</w:t>
      </w:r>
      <w:r>
        <w:rPr>
          <w:szCs w:val="24"/>
        </w:rPr>
        <w:t>, to t</w:t>
      </w:r>
      <w:r w:rsidR="007E220D">
        <w:rPr>
          <w:szCs w:val="24"/>
        </w:rPr>
        <w:t>he absence of any previous pr</w:t>
      </w:r>
      <w:r w:rsidR="00813518">
        <w:rPr>
          <w:szCs w:val="24"/>
        </w:rPr>
        <w:t xml:space="preserve">osecution, </w:t>
      </w:r>
      <w:r w:rsidR="001B7F13">
        <w:rPr>
          <w:szCs w:val="24"/>
        </w:rPr>
        <w:t xml:space="preserve">to </w:t>
      </w:r>
      <w:r w:rsidR="00813518">
        <w:rPr>
          <w:szCs w:val="24"/>
        </w:rPr>
        <w:t>the potential f</w:t>
      </w:r>
      <w:r>
        <w:rPr>
          <w:szCs w:val="24"/>
        </w:rPr>
        <w:t>or</w:t>
      </w:r>
      <w:r w:rsidR="00813518">
        <w:rPr>
          <w:szCs w:val="24"/>
        </w:rPr>
        <w:t xml:space="preserve"> harm to the occupants of the property, </w:t>
      </w:r>
      <w:r w:rsidR="001B7F13">
        <w:rPr>
          <w:szCs w:val="24"/>
        </w:rPr>
        <w:t xml:space="preserve">to </w:t>
      </w:r>
      <w:r w:rsidR="00813518">
        <w:rPr>
          <w:szCs w:val="24"/>
        </w:rPr>
        <w:t>the fact that the r</w:t>
      </w:r>
      <w:r w:rsidR="006909EC">
        <w:rPr>
          <w:szCs w:val="24"/>
        </w:rPr>
        <w:t xml:space="preserve">espondent also managed another licenced HMO, and </w:t>
      </w:r>
      <w:r w:rsidR="001B7F13">
        <w:rPr>
          <w:szCs w:val="24"/>
        </w:rPr>
        <w:t xml:space="preserve">to </w:t>
      </w:r>
      <w:r w:rsidR="006909EC">
        <w:rPr>
          <w:szCs w:val="24"/>
        </w:rPr>
        <w:t>the fact that she had been supplied with a copy of the 2006 Regulations on a previous occasion.</w:t>
      </w:r>
    </w:p>
    <w:p w14:paraId="762F59FC" w14:textId="550E09E1" w:rsidR="006909EC" w:rsidRDefault="006909EC" w:rsidP="006F7ED1">
      <w:pPr>
        <w:pStyle w:val="ListParagraph"/>
        <w:numPr>
          <w:ilvl w:val="0"/>
          <w:numId w:val="7"/>
        </w:numPr>
        <w:tabs>
          <w:tab w:val="left" w:pos="0"/>
        </w:tabs>
        <w:spacing w:after="360"/>
        <w:ind w:left="567" w:hanging="567"/>
        <w:contextualSpacing w:val="0"/>
        <w:jc w:val="both"/>
        <w:rPr>
          <w:szCs w:val="24"/>
        </w:rPr>
      </w:pPr>
      <w:r>
        <w:rPr>
          <w:szCs w:val="24"/>
        </w:rPr>
        <w:t>The respondent appealed to the FTT</w:t>
      </w:r>
      <w:r w:rsidR="00BA7569">
        <w:rPr>
          <w:szCs w:val="24"/>
        </w:rPr>
        <w:t xml:space="preserve">.  </w:t>
      </w:r>
      <w:r w:rsidR="00213C3C">
        <w:rPr>
          <w:szCs w:val="24"/>
        </w:rPr>
        <w:t>At that time she was professionally represented.  T</w:t>
      </w:r>
      <w:r w:rsidR="00BA7569">
        <w:rPr>
          <w:szCs w:val="24"/>
        </w:rPr>
        <w:t>he main grounds of her appeal focussed on the lack of notice of the original inspection</w:t>
      </w:r>
      <w:r w:rsidR="00213C3C">
        <w:rPr>
          <w:szCs w:val="24"/>
        </w:rPr>
        <w:t>, on</w:t>
      </w:r>
      <w:r w:rsidR="00BA7569">
        <w:rPr>
          <w:szCs w:val="24"/>
        </w:rPr>
        <w:t xml:space="preserve"> he</w:t>
      </w:r>
      <w:r w:rsidR="001B7F13">
        <w:rPr>
          <w:szCs w:val="24"/>
        </w:rPr>
        <w:t>r</w:t>
      </w:r>
      <w:r w:rsidR="00BA7569">
        <w:rPr>
          <w:szCs w:val="24"/>
        </w:rPr>
        <w:t xml:space="preserve"> </w:t>
      </w:r>
      <w:r w:rsidR="00213C3C">
        <w:rPr>
          <w:szCs w:val="24"/>
        </w:rPr>
        <w:t xml:space="preserve">prompt </w:t>
      </w:r>
      <w:r w:rsidR="00BA7569">
        <w:rPr>
          <w:szCs w:val="24"/>
        </w:rPr>
        <w:t>complet</w:t>
      </w:r>
      <w:r w:rsidR="00213C3C">
        <w:rPr>
          <w:szCs w:val="24"/>
        </w:rPr>
        <w:t>ion of</w:t>
      </w:r>
      <w:r w:rsidR="00BA7569">
        <w:rPr>
          <w:szCs w:val="24"/>
        </w:rPr>
        <w:t xml:space="preserve"> all the scheduled work</w:t>
      </w:r>
      <w:r w:rsidR="00213C3C">
        <w:rPr>
          <w:szCs w:val="24"/>
        </w:rPr>
        <w:t>,</w:t>
      </w:r>
      <w:r w:rsidR="00D3316C">
        <w:rPr>
          <w:szCs w:val="24"/>
        </w:rPr>
        <w:t xml:space="preserve"> </w:t>
      </w:r>
      <w:r w:rsidR="00213C3C">
        <w:rPr>
          <w:szCs w:val="24"/>
        </w:rPr>
        <w:t xml:space="preserve">and on </w:t>
      </w:r>
      <w:r w:rsidR="00D3316C">
        <w:rPr>
          <w:szCs w:val="24"/>
        </w:rPr>
        <w:t xml:space="preserve">the impact which the </w:t>
      </w:r>
      <w:r w:rsidR="00213C3C">
        <w:rPr>
          <w:szCs w:val="24"/>
        </w:rPr>
        <w:t>C</w:t>
      </w:r>
      <w:r w:rsidR="00D3316C">
        <w:rPr>
          <w:szCs w:val="24"/>
        </w:rPr>
        <w:t xml:space="preserve">ovid 19 pandemic had had on </w:t>
      </w:r>
      <w:r w:rsidR="00213C3C">
        <w:rPr>
          <w:szCs w:val="24"/>
        </w:rPr>
        <w:t>t</w:t>
      </w:r>
      <w:r w:rsidR="00D3316C">
        <w:rPr>
          <w:szCs w:val="24"/>
        </w:rPr>
        <w:t>he</w:t>
      </w:r>
      <w:r w:rsidR="00213C3C">
        <w:rPr>
          <w:szCs w:val="24"/>
        </w:rPr>
        <w:t xml:space="preserve"> respondent</w:t>
      </w:r>
      <w:r w:rsidR="00D3316C">
        <w:rPr>
          <w:szCs w:val="24"/>
        </w:rPr>
        <w:t xml:space="preserve"> and her tenants, who </w:t>
      </w:r>
      <w:r w:rsidR="00213C3C">
        <w:rPr>
          <w:szCs w:val="24"/>
        </w:rPr>
        <w:t>were said to have</w:t>
      </w:r>
      <w:r w:rsidR="00D3316C">
        <w:rPr>
          <w:szCs w:val="24"/>
        </w:rPr>
        <w:t xml:space="preserve"> spent much more time </w:t>
      </w:r>
      <w:r w:rsidR="00213C3C">
        <w:rPr>
          <w:szCs w:val="24"/>
        </w:rPr>
        <w:t>at</w:t>
      </w:r>
      <w:r w:rsidR="00D3316C">
        <w:rPr>
          <w:szCs w:val="24"/>
        </w:rPr>
        <w:t xml:space="preserve"> ho</w:t>
      </w:r>
      <w:r w:rsidR="00213C3C">
        <w:rPr>
          <w:szCs w:val="24"/>
        </w:rPr>
        <w:t>m</w:t>
      </w:r>
      <w:r w:rsidR="00D3316C">
        <w:rPr>
          <w:szCs w:val="24"/>
        </w:rPr>
        <w:t>e</w:t>
      </w:r>
      <w:r w:rsidR="00213C3C">
        <w:rPr>
          <w:szCs w:val="24"/>
        </w:rPr>
        <w:t>,</w:t>
      </w:r>
      <w:r w:rsidR="00D3316C">
        <w:rPr>
          <w:szCs w:val="24"/>
        </w:rPr>
        <w:t xml:space="preserve"> causing </w:t>
      </w:r>
      <w:r w:rsidR="00213C3C">
        <w:rPr>
          <w:szCs w:val="24"/>
        </w:rPr>
        <w:t>the property</w:t>
      </w:r>
      <w:r w:rsidR="00863D6E">
        <w:rPr>
          <w:szCs w:val="24"/>
        </w:rPr>
        <w:t xml:space="preserve"> to deteriorate.  </w:t>
      </w:r>
      <w:r w:rsidR="00213C3C">
        <w:rPr>
          <w:szCs w:val="24"/>
        </w:rPr>
        <w:t>T</w:t>
      </w:r>
      <w:r w:rsidR="00863D6E">
        <w:rPr>
          <w:szCs w:val="24"/>
        </w:rPr>
        <w:t>he</w:t>
      </w:r>
      <w:r w:rsidR="00213C3C">
        <w:rPr>
          <w:szCs w:val="24"/>
        </w:rPr>
        <w:t xml:space="preserve"> respondent</w:t>
      </w:r>
      <w:r w:rsidR="00863D6E">
        <w:rPr>
          <w:szCs w:val="24"/>
        </w:rPr>
        <w:t xml:space="preserve"> also took issue with </w:t>
      </w:r>
      <w:r w:rsidR="00863D6E">
        <w:rPr>
          <w:szCs w:val="24"/>
        </w:rPr>
        <w:lastRenderedPageBreak/>
        <w:t xml:space="preserve">the quantum of the financial penalty which, she pointed out, exceeded the total </w:t>
      </w:r>
      <w:r w:rsidR="00213C3C">
        <w:rPr>
          <w:szCs w:val="24"/>
        </w:rPr>
        <w:t xml:space="preserve">annual </w:t>
      </w:r>
      <w:r w:rsidR="00863D6E">
        <w:rPr>
          <w:szCs w:val="24"/>
        </w:rPr>
        <w:t>rent of the whole property.</w:t>
      </w:r>
      <w:r w:rsidR="00213C3C">
        <w:rPr>
          <w:szCs w:val="24"/>
        </w:rPr>
        <w:t xml:space="preserve">  No complaint was made about the form of the initial </w:t>
      </w:r>
      <w:proofErr w:type="gramStart"/>
      <w:r w:rsidR="00213C3C">
        <w:rPr>
          <w:szCs w:val="24"/>
        </w:rPr>
        <w:t>notice</w:t>
      </w:r>
      <w:proofErr w:type="gramEnd"/>
      <w:r w:rsidR="00B97F9F">
        <w:rPr>
          <w:szCs w:val="24"/>
        </w:rPr>
        <w:t xml:space="preserve"> and it was not suggested that the penalty should be set aside because the respondent had not understood what it was she was being said to have done wrong.</w:t>
      </w:r>
    </w:p>
    <w:p w14:paraId="6595A5DE" w14:textId="3F288B5C" w:rsidR="00863D6E" w:rsidRPr="00863D6E" w:rsidRDefault="00863D6E" w:rsidP="006F7ED1">
      <w:pPr>
        <w:tabs>
          <w:tab w:val="left" w:pos="0"/>
        </w:tabs>
        <w:spacing w:after="360"/>
        <w:jc w:val="both"/>
        <w:rPr>
          <w:b/>
          <w:bCs/>
          <w:szCs w:val="24"/>
        </w:rPr>
      </w:pPr>
      <w:r w:rsidRPr="00863D6E">
        <w:rPr>
          <w:b/>
          <w:bCs/>
          <w:szCs w:val="24"/>
        </w:rPr>
        <w:t>The FTT’s decision</w:t>
      </w:r>
    </w:p>
    <w:p w14:paraId="6418FDA7" w14:textId="79BD2057" w:rsidR="00863D6E" w:rsidRDefault="00213C3C" w:rsidP="006F7ED1">
      <w:pPr>
        <w:pStyle w:val="ListParagraph"/>
        <w:numPr>
          <w:ilvl w:val="0"/>
          <w:numId w:val="7"/>
        </w:numPr>
        <w:tabs>
          <w:tab w:val="left" w:pos="0"/>
        </w:tabs>
        <w:spacing w:after="360"/>
        <w:ind w:left="567" w:hanging="567"/>
        <w:contextualSpacing w:val="0"/>
        <w:jc w:val="both"/>
        <w:rPr>
          <w:szCs w:val="24"/>
        </w:rPr>
      </w:pPr>
      <w:r>
        <w:rPr>
          <w:szCs w:val="24"/>
        </w:rPr>
        <w:t>After a hearing at which t</w:t>
      </w:r>
      <w:r w:rsidR="00F51E73">
        <w:rPr>
          <w:szCs w:val="24"/>
        </w:rPr>
        <w:t>he respondent</w:t>
      </w:r>
      <w:r>
        <w:rPr>
          <w:szCs w:val="24"/>
        </w:rPr>
        <w:t xml:space="preserve"> wa</w:t>
      </w:r>
      <w:r w:rsidR="00F51E73">
        <w:rPr>
          <w:szCs w:val="24"/>
        </w:rPr>
        <w:t>s</w:t>
      </w:r>
      <w:r>
        <w:rPr>
          <w:szCs w:val="24"/>
        </w:rPr>
        <w:t xml:space="preserve"> represented by her solicitor and which she attended, t</w:t>
      </w:r>
      <w:r w:rsidR="00F51E73">
        <w:rPr>
          <w:szCs w:val="24"/>
        </w:rPr>
        <w:t>he FTT handed down its decision on</w:t>
      </w:r>
      <w:r>
        <w:rPr>
          <w:szCs w:val="24"/>
        </w:rPr>
        <w:t xml:space="preserve"> her appeal on </w:t>
      </w:r>
      <w:r w:rsidR="00F51E73">
        <w:rPr>
          <w:szCs w:val="24"/>
        </w:rPr>
        <w:t>16 November</w:t>
      </w:r>
      <w:r>
        <w:rPr>
          <w:szCs w:val="24"/>
        </w:rPr>
        <w:t xml:space="preserve"> 2022</w:t>
      </w:r>
      <w:r w:rsidR="00F51E73">
        <w:rPr>
          <w:szCs w:val="24"/>
        </w:rPr>
        <w:t xml:space="preserve">. </w:t>
      </w:r>
    </w:p>
    <w:p w14:paraId="13CCED61" w14:textId="6D5FA90F" w:rsidR="00CE2659" w:rsidRDefault="00CE2659" w:rsidP="006F7ED1">
      <w:pPr>
        <w:pStyle w:val="ListParagraph"/>
        <w:numPr>
          <w:ilvl w:val="0"/>
          <w:numId w:val="7"/>
        </w:numPr>
        <w:tabs>
          <w:tab w:val="left" w:pos="0"/>
        </w:tabs>
        <w:spacing w:after="360"/>
        <w:ind w:left="567" w:hanging="567"/>
        <w:contextualSpacing w:val="0"/>
        <w:jc w:val="both"/>
        <w:rPr>
          <w:szCs w:val="24"/>
        </w:rPr>
      </w:pPr>
      <w:r>
        <w:rPr>
          <w:szCs w:val="24"/>
        </w:rPr>
        <w:t xml:space="preserve">At the hearing the FTT had </w:t>
      </w:r>
      <w:r w:rsidR="001B7F13">
        <w:rPr>
          <w:szCs w:val="24"/>
        </w:rPr>
        <w:t xml:space="preserve">first </w:t>
      </w:r>
      <w:r>
        <w:rPr>
          <w:szCs w:val="24"/>
        </w:rPr>
        <w:t>invited submissions on t</w:t>
      </w:r>
      <w:r w:rsidR="00F51E73">
        <w:rPr>
          <w:szCs w:val="24"/>
        </w:rPr>
        <w:t>he</w:t>
      </w:r>
      <w:r>
        <w:rPr>
          <w:szCs w:val="24"/>
        </w:rPr>
        <w:t xml:space="preserve"> validity of two of the three notices of intent and had</w:t>
      </w:r>
      <w:r w:rsidR="002F16F5">
        <w:rPr>
          <w:szCs w:val="24"/>
        </w:rPr>
        <w:t xml:space="preserve"> then</w:t>
      </w:r>
      <w:r>
        <w:rPr>
          <w:szCs w:val="24"/>
        </w:rPr>
        <w:t xml:space="preserve"> informed the parties that it considered them to have been invalid.  It confined its consideration of </w:t>
      </w:r>
      <w:r w:rsidR="002F16F5">
        <w:rPr>
          <w:szCs w:val="24"/>
        </w:rPr>
        <w:t>o</w:t>
      </w:r>
      <w:r>
        <w:rPr>
          <w:szCs w:val="24"/>
        </w:rPr>
        <w:t>the</w:t>
      </w:r>
      <w:r w:rsidR="002F16F5">
        <w:rPr>
          <w:szCs w:val="24"/>
        </w:rPr>
        <w:t>r issues</w:t>
      </w:r>
      <w:r>
        <w:rPr>
          <w:szCs w:val="24"/>
        </w:rPr>
        <w:t xml:space="preserve"> to the third notice, which is not the subject of this appeal.</w:t>
      </w:r>
    </w:p>
    <w:p w14:paraId="643602A0" w14:textId="7C9EBFAF" w:rsidR="000B4BA1" w:rsidRPr="00571AC8" w:rsidRDefault="00CE2659" w:rsidP="0025373D">
      <w:pPr>
        <w:pStyle w:val="ListParagraph"/>
        <w:numPr>
          <w:ilvl w:val="0"/>
          <w:numId w:val="7"/>
        </w:numPr>
        <w:tabs>
          <w:tab w:val="left" w:pos="0"/>
        </w:tabs>
        <w:spacing w:after="360"/>
        <w:ind w:left="567" w:hanging="567"/>
        <w:contextualSpacing w:val="0"/>
        <w:jc w:val="both"/>
        <w:rPr>
          <w:szCs w:val="24"/>
        </w:rPr>
      </w:pPr>
      <w:r w:rsidRPr="00571AC8">
        <w:rPr>
          <w:szCs w:val="24"/>
        </w:rPr>
        <w:t xml:space="preserve">In its decision, </w:t>
      </w:r>
      <w:r w:rsidR="00571AC8">
        <w:rPr>
          <w:szCs w:val="24"/>
        </w:rPr>
        <w:t>t</w:t>
      </w:r>
      <w:r w:rsidRPr="00571AC8">
        <w:rPr>
          <w:szCs w:val="24"/>
        </w:rPr>
        <w:t xml:space="preserve">he FTT </w:t>
      </w:r>
      <w:r w:rsidR="002F6670" w:rsidRPr="00571AC8">
        <w:rPr>
          <w:szCs w:val="24"/>
        </w:rPr>
        <w:t xml:space="preserve">explained </w:t>
      </w:r>
      <w:r w:rsidRPr="00571AC8">
        <w:rPr>
          <w:szCs w:val="24"/>
        </w:rPr>
        <w:t>what it considered wa</w:t>
      </w:r>
      <w:r w:rsidR="002F6670" w:rsidRPr="00571AC8">
        <w:rPr>
          <w:szCs w:val="24"/>
        </w:rPr>
        <w:t>s re</w:t>
      </w:r>
      <w:r w:rsidRPr="00571AC8">
        <w:rPr>
          <w:szCs w:val="24"/>
        </w:rPr>
        <w:t xml:space="preserve">quired of a </w:t>
      </w:r>
      <w:r w:rsidR="002F16F5">
        <w:rPr>
          <w:szCs w:val="24"/>
        </w:rPr>
        <w:t xml:space="preserve">valid </w:t>
      </w:r>
      <w:r w:rsidRPr="00571AC8">
        <w:rPr>
          <w:szCs w:val="24"/>
        </w:rPr>
        <w:t>notice of intent</w:t>
      </w:r>
      <w:r w:rsidR="002F6670" w:rsidRPr="00571AC8">
        <w:rPr>
          <w:szCs w:val="24"/>
        </w:rPr>
        <w:t xml:space="preserve"> </w:t>
      </w:r>
      <w:r w:rsidR="000B4BA1" w:rsidRPr="00571AC8">
        <w:rPr>
          <w:szCs w:val="24"/>
        </w:rPr>
        <w:t>(which it referred to as an “NOI”)</w:t>
      </w:r>
      <w:r w:rsidR="002F16F5">
        <w:rPr>
          <w:szCs w:val="24"/>
        </w:rPr>
        <w:t>.  A</w:t>
      </w:r>
      <w:r w:rsidR="000B4BA1" w:rsidRPr="00571AC8">
        <w:rPr>
          <w:szCs w:val="24"/>
        </w:rPr>
        <w:t>t paragraph 35</w:t>
      </w:r>
      <w:r w:rsidR="002F16F5">
        <w:rPr>
          <w:szCs w:val="24"/>
        </w:rPr>
        <w:t xml:space="preserve"> i</w:t>
      </w:r>
      <w:r w:rsidR="000B4BA1" w:rsidRPr="00571AC8">
        <w:rPr>
          <w:szCs w:val="24"/>
        </w:rPr>
        <w:t xml:space="preserve">t described the </w:t>
      </w:r>
      <w:r w:rsidR="002F6670" w:rsidRPr="00571AC8">
        <w:rPr>
          <w:szCs w:val="24"/>
        </w:rPr>
        <w:t xml:space="preserve">legislation </w:t>
      </w:r>
      <w:r w:rsidR="000B4BA1" w:rsidRPr="00571AC8">
        <w:rPr>
          <w:szCs w:val="24"/>
        </w:rPr>
        <w:t>as providing for “</w:t>
      </w:r>
      <w:r w:rsidR="002F6670" w:rsidRPr="00571AC8">
        <w:rPr>
          <w:szCs w:val="24"/>
        </w:rPr>
        <w:t>a criminal penalty</w:t>
      </w:r>
      <w:r w:rsidR="000B4BA1" w:rsidRPr="00571AC8">
        <w:rPr>
          <w:szCs w:val="24"/>
        </w:rPr>
        <w:t xml:space="preserve">” requiring proof of an offence </w:t>
      </w:r>
      <w:r w:rsidR="00650084" w:rsidRPr="00571AC8">
        <w:rPr>
          <w:szCs w:val="24"/>
        </w:rPr>
        <w:t>beyond reasonable doubt.</w:t>
      </w:r>
      <w:r w:rsidR="000B4BA1" w:rsidRPr="00571AC8">
        <w:rPr>
          <w:szCs w:val="24"/>
        </w:rPr>
        <w:t xml:space="preserve">  Therefore:</w:t>
      </w:r>
    </w:p>
    <w:p w14:paraId="63B1A1ED" w14:textId="77777777" w:rsidR="000B4BA1" w:rsidRDefault="000B4BA1" w:rsidP="00571AC8">
      <w:pPr>
        <w:pStyle w:val="ListParagraph"/>
        <w:tabs>
          <w:tab w:val="left" w:pos="0"/>
        </w:tabs>
        <w:spacing w:after="360"/>
        <w:ind w:left="1134" w:right="567"/>
        <w:contextualSpacing w:val="0"/>
        <w:jc w:val="both"/>
        <w:rPr>
          <w:szCs w:val="24"/>
        </w:rPr>
      </w:pPr>
      <w:r w:rsidRPr="000B4BA1">
        <w:rPr>
          <w:szCs w:val="24"/>
        </w:rPr>
        <w:t>“</w:t>
      </w:r>
      <w:r w:rsidR="00650084" w:rsidRPr="000B4BA1">
        <w:rPr>
          <w:szCs w:val="24"/>
        </w:rPr>
        <w:t xml:space="preserve">An </w:t>
      </w:r>
      <w:r w:rsidRPr="000B4BA1">
        <w:rPr>
          <w:szCs w:val="24"/>
        </w:rPr>
        <w:t>appellant</w:t>
      </w:r>
      <w:r w:rsidR="00650084" w:rsidRPr="000B4BA1">
        <w:rPr>
          <w:szCs w:val="24"/>
        </w:rPr>
        <w:t xml:space="preserve"> is entitled to know </w:t>
      </w:r>
      <w:r w:rsidR="00650084" w:rsidRPr="000B4BA1">
        <w:rPr>
          <w:i/>
          <w:iCs/>
          <w:szCs w:val="24"/>
        </w:rPr>
        <w:t>precisely</w:t>
      </w:r>
      <w:r w:rsidR="00650084" w:rsidRPr="000B4BA1">
        <w:rPr>
          <w:szCs w:val="24"/>
        </w:rPr>
        <w:t xml:space="preserve"> what all</w:t>
      </w:r>
      <w:r w:rsidRPr="000B4BA1">
        <w:rPr>
          <w:szCs w:val="24"/>
        </w:rPr>
        <w:t>eg</w:t>
      </w:r>
      <w:r w:rsidR="00650084" w:rsidRPr="000B4BA1">
        <w:rPr>
          <w:szCs w:val="24"/>
        </w:rPr>
        <w:t xml:space="preserve">ation is being made against them in the NOI, to enable the representation process to be as effective as possible; clear allegation met by apposite </w:t>
      </w:r>
      <w:r w:rsidR="006F218C" w:rsidRPr="000B4BA1">
        <w:rPr>
          <w:szCs w:val="24"/>
        </w:rPr>
        <w:t xml:space="preserve">representation; it is akin to counts on an </w:t>
      </w:r>
      <w:r w:rsidR="00A02F30" w:rsidRPr="000B4BA1">
        <w:rPr>
          <w:szCs w:val="24"/>
        </w:rPr>
        <w:t>indictment</w:t>
      </w:r>
      <w:r w:rsidR="006F218C" w:rsidRPr="000B4BA1">
        <w:rPr>
          <w:szCs w:val="24"/>
        </w:rPr>
        <w:t xml:space="preserve"> </w:t>
      </w:r>
      <w:r w:rsidR="00A02F30" w:rsidRPr="000B4BA1">
        <w:rPr>
          <w:szCs w:val="24"/>
        </w:rPr>
        <w:t>or a charge sheet.  To provide specific information is to know the allegation, and it is not adequate to rely on previous correspondence, which might have been had up to six months before, and when the nature of the work</w:t>
      </w:r>
      <w:r w:rsidR="007E771D" w:rsidRPr="000B4BA1">
        <w:rPr>
          <w:szCs w:val="24"/>
        </w:rPr>
        <w:t>s and allegations</w:t>
      </w:r>
      <w:r w:rsidR="00AA3414" w:rsidRPr="000B4BA1">
        <w:rPr>
          <w:szCs w:val="24"/>
        </w:rPr>
        <w:t xml:space="preserve"> may well (and usually does) evolve over time; had it </w:t>
      </w:r>
      <w:r w:rsidRPr="000B4BA1">
        <w:rPr>
          <w:szCs w:val="24"/>
        </w:rPr>
        <w:t xml:space="preserve">[the schedule of works] </w:t>
      </w:r>
      <w:r w:rsidR="00AA3414" w:rsidRPr="000B4BA1">
        <w:rPr>
          <w:szCs w:val="24"/>
        </w:rPr>
        <w:t>been attached or referred to as the detailed allegations made therein, the matter cou</w:t>
      </w:r>
      <w:r w:rsidR="009C019E" w:rsidRPr="000B4BA1">
        <w:rPr>
          <w:szCs w:val="24"/>
        </w:rPr>
        <w:t>ld have been different.”</w:t>
      </w:r>
    </w:p>
    <w:p w14:paraId="5043FE6D" w14:textId="6D44FE2E" w:rsidR="000077D3" w:rsidRPr="00571AC8" w:rsidRDefault="000B4BA1" w:rsidP="001E2909">
      <w:pPr>
        <w:pStyle w:val="ListParagraph"/>
        <w:numPr>
          <w:ilvl w:val="0"/>
          <w:numId w:val="7"/>
        </w:numPr>
        <w:tabs>
          <w:tab w:val="left" w:pos="0"/>
        </w:tabs>
        <w:spacing w:after="360"/>
        <w:ind w:left="567" w:hanging="567"/>
        <w:contextualSpacing w:val="0"/>
        <w:jc w:val="both"/>
        <w:rPr>
          <w:szCs w:val="24"/>
        </w:rPr>
      </w:pPr>
      <w:r>
        <w:rPr>
          <w:szCs w:val="24"/>
        </w:rPr>
        <w:t>At p</w:t>
      </w:r>
      <w:r w:rsidR="009C019E" w:rsidRPr="000B4BA1">
        <w:rPr>
          <w:szCs w:val="24"/>
        </w:rPr>
        <w:t>aragraph 3</w:t>
      </w:r>
      <w:r>
        <w:rPr>
          <w:szCs w:val="24"/>
        </w:rPr>
        <w:t>6</w:t>
      </w:r>
      <w:r w:rsidR="009C019E" w:rsidRPr="000B4BA1">
        <w:rPr>
          <w:szCs w:val="24"/>
        </w:rPr>
        <w:t xml:space="preserve"> </w:t>
      </w:r>
      <w:r>
        <w:rPr>
          <w:szCs w:val="24"/>
        </w:rPr>
        <w:t xml:space="preserve">the FTT </w:t>
      </w:r>
      <w:r w:rsidR="00571AC8">
        <w:rPr>
          <w:szCs w:val="24"/>
        </w:rPr>
        <w:t>contrast</w:t>
      </w:r>
      <w:r>
        <w:rPr>
          <w:szCs w:val="24"/>
        </w:rPr>
        <w:t>ed the “sparse detail”</w:t>
      </w:r>
      <w:r w:rsidR="00571AC8" w:rsidRPr="00571AC8">
        <w:rPr>
          <w:szCs w:val="24"/>
        </w:rPr>
        <w:t xml:space="preserve"> given by the Council in the notices of intent</w:t>
      </w:r>
      <w:r w:rsidR="00571AC8">
        <w:rPr>
          <w:szCs w:val="24"/>
        </w:rPr>
        <w:t xml:space="preserve"> </w:t>
      </w:r>
      <w:r w:rsidRPr="00571AC8">
        <w:rPr>
          <w:szCs w:val="24"/>
        </w:rPr>
        <w:t xml:space="preserve">with </w:t>
      </w:r>
      <w:r w:rsidR="00571AC8" w:rsidRPr="00571AC8">
        <w:rPr>
          <w:szCs w:val="24"/>
        </w:rPr>
        <w:t xml:space="preserve">the </w:t>
      </w:r>
      <w:r w:rsidRPr="00571AC8">
        <w:rPr>
          <w:szCs w:val="24"/>
        </w:rPr>
        <w:t xml:space="preserve">final notices </w:t>
      </w:r>
      <w:r w:rsidR="00571AC8">
        <w:rPr>
          <w:szCs w:val="24"/>
        </w:rPr>
        <w:t>and p</w:t>
      </w:r>
      <w:r w:rsidR="001B7F13">
        <w:rPr>
          <w:szCs w:val="24"/>
        </w:rPr>
        <w:t>o</w:t>
      </w:r>
      <w:r w:rsidR="00571AC8">
        <w:rPr>
          <w:szCs w:val="24"/>
        </w:rPr>
        <w:t>in</w:t>
      </w:r>
      <w:r w:rsidR="001B7F13">
        <w:rPr>
          <w:szCs w:val="24"/>
        </w:rPr>
        <w:t>t</w:t>
      </w:r>
      <w:r w:rsidR="00571AC8">
        <w:rPr>
          <w:szCs w:val="24"/>
        </w:rPr>
        <w:t xml:space="preserve">ed </w:t>
      </w:r>
      <w:r w:rsidR="001B7F13">
        <w:rPr>
          <w:szCs w:val="24"/>
        </w:rPr>
        <w:t xml:space="preserve">out </w:t>
      </w:r>
      <w:r w:rsidRPr="00571AC8">
        <w:rPr>
          <w:szCs w:val="24"/>
        </w:rPr>
        <w:t xml:space="preserve">that no </w:t>
      </w:r>
      <w:r w:rsidR="000D1791" w:rsidRPr="00571AC8">
        <w:rPr>
          <w:szCs w:val="24"/>
        </w:rPr>
        <w:t xml:space="preserve">explanation </w:t>
      </w:r>
      <w:r w:rsidRPr="00571AC8">
        <w:rPr>
          <w:szCs w:val="24"/>
        </w:rPr>
        <w:t xml:space="preserve">had been suggested </w:t>
      </w:r>
      <w:r w:rsidR="000D1791" w:rsidRPr="00571AC8">
        <w:rPr>
          <w:szCs w:val="24"/>
        </w:rPr>
        <w:t xml:space="preserve">for this difference.  It </w:t>
      </w:r>
      <w:r w:rsidR="00571AC8" w:rsidRPr="00571AC8">
        <w:rPr>
          <w:szCs w:val="24"/>
        </w:rPr>
        <w:t>wa</w:t>
      </w:r>
      <w:r w:rsidR="000D1791" w:rsidRPr="00571AC8">
        <w:rPr>
          <w:szCs w:val="24"/>
        </w:rPr>
        <w:t xml:space="preserve">s not </w:t>
      </w:r>
      <w:r w:rsidR="00571AC8" w:rsidRPr="00571AC8">
        <w:rPr>
          <w:szCs w:val="24"/>
        </w:rPr>
        <w:t xml:space="preserve">sufficient </w:t>
      </w:r>
      <w:r w:rsidR="000D1791" w:rsidRPr="00571AC8">
        <w:rPr>
          <w:szCs w:val="24"/>
        </w:rPr>
        <w:t xml:space="preserve">to rely on </w:t>
      </w:r>
      <w:r w:rsidR="00571AC8" w:rsidRPr="00571AC8">
        <w:rPr>
          <w:szCs w:val="24"/>
        </w:rPr>
        <w:t>a</w:t>
      </w:r>
      <w:r w:rsidR="00A07075" w:rsidRPr="00571AC8">
        <w:rPr>
          <w:szCs w:val="24"/>
        </w:rPr>
        <w:t xml:space="preserve"> schedule of works issued at the end of October 2021 </w:t>
      </w:r>
      <w:r w:rsidR="00571AC8" w:rsidRPr="00571AC8">
        <w:rPr>
          <w:szCs w:val="24"/>
        </w:rPr>
        <w:t xml:space="preserve">as providing particulars of offences in </w:t>
      </w:r>
      <w:r w:rsidR="00A07075" w:rsidRPr="00571AC8">
        <w:rPr>
          <w:szCs w:val="24"/>
        </w:rPr>
        <w:t>notice</w:t>
      </w:r>
      <w:r w:rsidR="00571AC8" w:rsidRPr="00571AC8">
        <w:rPr>
          <w:szCs w:val="24"/>
        </w:rPr>
        <w:t>s</w:t>
      </w:r>
      <w:r w:rsidR="00A07075" w:rsidRPr="00571AC8">
        <w:rPr>
          <w:szCs w:val="24"/>
        </w:rPr>
        <w:t xml:space="preserve"> of intent issued in February 2022.  </w:t>
      </w:r>
      <w:r w:rsidR="00571AC8" w:rsidRPr="00571AC8">
        <w:rPr>
          <w:szCs w:val="24"/>
        </w:rPr>
        <w:t>An</w:t>
      </w:r>
      <w:r w:rsidR="00A07075" w:rsidRPr="00571AC8">
        <w:rPr>
          <w:szCs w:val="24"/>
        </w:rPr>
        <w:t xml:space="preserve"> </w:t>
      </w:r>
      <w:r w:rsidR="00571AC8" w:rsidRPr="00571AC8">
        <w:rPr>
          <w:szCs w:val="24"/>
        </w:rPr>
        <w:t xml:space="preserve">appellant was </w:t>
      </w:r>
      <w:r w:rsidR="00A07075" w:rsidRPr="00571AC8">
        <w:rPr>
          <w:szCs w:val="24"/>
        </w:rPr>
        <w:t xml:space="preserve">entitled to have clarity over what she </w:t>
      </w:r>
      <w:r w:rsidR="00571AC8" w:rsidRPr="00571AC8">
        <w:rPr>
          <w:szCs w:val="24"/>
        </w:rPr>
        <w:t>wa</w:t>
      </w:r>
      <w:r w:rsidR="00A07075" w:rsidRPr="00571AC8">
        <w:rPr>
          <w:szCs w:val="24"/>
        </w:rPr>
        <w:t>s being accused</w:t>
      </w:r>
      <w:r w:rsidR="00571AC8" w:rsidRPr="00571AC8">
        <w:rPr>
          <w:szCs w:val="24"/>
        </w:rPr>
        <w:t xml:space="preserve"> of</w:t>
      </w:r>
      <w:r w:rsidR="000077D3" w:rsidRPr="00571AC8">
        <w:rPr>
          <w:szCs w:val="24"/>
        </w:rPr>
        <w:t xml:space="preserve">, which </w:t>
      </w:r>
      <w:r w:rsidR="00571AC8" w:rsidRPr="00571AC8">
        <w:rPr>
          <w:szCs w:val="24"/>
        </w:rPr>
        <w:t>wa</w:t>
      </w:r>
      <w:r w:rsidR="000077D3" w:rsidRPr="00571AC8">
        <w:rPr>
          <w:szCs w:val="24"/>
        </w:rPr>
        <w:t>s not a</w:t>
      </w:r>
      <w:r w:rsidR="00571AC8" w:rsidRPr="00571AC8">
        <w:rPr>
          <w:szCs w:val="24"/>
        </w:rPr>
        <w:t xml:space="preserve">chieved by </w:t>
      </w:r>
      <w:r w:rsidR="000077D3" w:rsidRPr="00571AC8">
        <w:rPr>
          <w:szCs w:val="24"/>
        </w:rPr>
        <w:t>the</w:t>
      </w:r>
      <w:r w:rsidR="00571AC8" w:rsidRPr="00571AC8">
        <w:rPr>
          <w:szCs w:val="24"/>
        </w:rPr>
        <w:t>se</w:t>
      </w:r>
      <w:r w:rsidR="000077D3" w:rsidRPr="00571AC8">
        <w:rPr>
          <w:szCs w:val="24"/>
        </w:rPr>
        <w:t xml:space="preserve"> notices of intent.</w:t>
      </w:r>
      <w:r w:rsidR="00571AC8" w:rsidRPr="00571AC8">
        <w:rPr>
          <w:szCs w:val="24"/>
        </w:rPr>
        <w:t xml:space="preserve">  Although </w:t>
      </w:r>
      <w:r w:rsidR="001B7F13">
        <w:rPr>
          <w:szCs w:val="24"/>
        </w:rPr>
        <w:t xml:space="preserve">the FTT accepted that </w:t>
      </w:r>
      <w:r w:rsidR="000077D3" w:rsidRPr="00571AC8">
        <w:rPr>
          <w:szCs w:val="24"/>
        </w:rPr>
        <w:t xml:space="preserve">the allegations concerning overcrowding </w:t>
      </w:r>
      <w:r w:rsidR="001B7F13" w:rsidRPr="001B7F13">
        <w:rPr>
          <w:szCs w:val="24"/>
        </w:rPr>
        <w:t>had been included in error</w:t>
      </w:r>
      <w:r w:rsidR="001B7F13">
        <w:rPr>
          <w:szCs w:val="24"/>
        </w:rPr>
        <w:t xml:space="preserve">, they </w:t>
      </w:r>
      <w:r w:rsidR="000077D3" w:rsidRPr="00571AC8">
        <w:rPr>
          <w:szCs w:val="24"/>
        </w:rPr>
        <w:t>ha</w:t>
      </w:r>
      <w:r w:rsidR="00571AC8" w:rsidRPr="00571AC8">
        <w:rPr>
          <w:szCs w:val="24"/>
        </w:rPr>
        <w:t>d</w:t>
      </w:r>
      <w:r w:rsidR="000077D3" w:rsidRPr="00571AC8">
        <w:rPr>
          <w:szCs w:val="24"/>
        </w:rPr>
        <w:t xml:space="preserve"> “mudd</w:t>
      </w:r>
      <w:r w:rsidR="00571AC8">
        <w:rPr>
          <w:szCs w:val="24"/>
        </w:rPr>
        <w:t>i</w:t>
      </w:r>
      <w:r w:rsidR="00CE160A" w:rsidRPr="00571AC8">
        <w:rPr>
          <w:szCs w:val="24"/>
        </w:rPr>
        <w:t xml:space="preserve">ed the waters”.  </w:t>
      </w:r>
      <w:r w:rsidR="00571AC8">
        <w:rPr>
          <w:szCs w:val="24"/>
        </w:rPr>
        <w:t>The FTT</w:t>
      </w:r>
      <w:r w:rsidR="00CE160A" w:rsidRPr="00571AC8">
        <w:rPr>
          <w:szCs w:val="24"/>
        </w:rPr>
        <w:t xml:space="preserve"> also criticised the </w:t>
      </w:r>
      <w:r w:rsidR="007F7743" w:rsidRPr="00571AC8">
        <w:rPr>
          <w:szCs w:val="24"/>
        </w:rPr>
        <w:t>Council</w:t>
      </w:r>
      <w:r w:rsidR="00CE160A" w:rsidRPr="00571AC8">
        <w:rPr>
          <w:szCs w:val="24"/>
        </w:rPr>
        <w:t xml:space="preserve"> </w:t>
      </w:r>
      <w:r w:rsidR="002F16F5">
        <w:rPr>
          <w:szCs w:val="24"/>
        </w:rPr>
        <w:t xml:space="preserve">for </w:t>
      </w:r>
      <w:r w:rsidR="00CE160A" w:rsidRPr="00571AC8">
        <w:rPr>
          <w:szCs w:val="24"/>
        </w:rPr>
        <w:t>failing to explain</w:t>
      </w:r>
      <w:r w:rsidR="002F16F5">
        <w:rPr>
          <w:szCs w:val="24"/>
        </w:rPr>
        <w:t xml:space="preserve"> properly</w:t>
      </w:r>
      <w:r w:rsidR="00CE160A" w:rsidRPr="00571AC8">
        <w:rPr>
          <w:szCs w:val="24"/>
        </w:rPr>
        <w:t xml:space="preserve"> why it considered that a financial penalty was the most appropriate course of action in this case</w:t>
      </w:r>
      <w:r w:rsidR="002F16F5">
        <w:rPr>
          <w:szCs w:val="24"/>
        </w:rPr>
        <w:t xml:space="preserve"> (there was other formal or informal action the Council could have taken, including </w:t>
      </w:r>
      <w:proofErr w:type="gramStart"/>
      <w:r w:rsidR="002F16F5">
        <w:rPr>
          <w:szCs w:val="24"/>
        </w:rPr>
        <w:t>prosecution</w:t>
      </w:r>
      <w:proofErr w:type="gramEnd"/>
      <w:r w:rsidR="002F16F5">
        <w:rPr>
          <w:szCs w:val="24"/>
        </w:rPr>
        <w:t xml:space="preserve"> or issuing a warning)</w:t>
      </w:r>
      <w:r w:rsidR="00CE160A" w:rsidRPr="00571AC8">
        <w:rPr>
          <w:szCs w:val="24"/>
        </w:rPr>
        <w:t xml:space="preserve">.  The information it had provided in </w:t>
      </w:r>
      <w:r w:rsidR="00571AC8">
        <w:rPr>
          <w:szCs w:val="24"/>
        </w:rPr>
        <w:t>paragraph 4 of th</w:t>
      </w:r>
      <w:r w:rsidR="00CE160A" w:rsidRPr="00571AC8">
        <w:rPr>
          <w:szCs w:val="24"/>
        </w:rPr>
        <w:t>e notice</w:t>
      </w:r>
      <w:r w:rsidR="00571AC8">
        <w:rPr>
          <w:szCs w:val="24"/>
        </w:rPr>
        <w:t>s</w:t>
      </w:r>
      <w:r w:rsidR="00CE160A" w:rsidRPr="00571AC8">
        <w:rPr>
          <w:szCs w:val="24"/>
        </w:rPr>
        <w:t xml:space="preserve"> of intent did not explain anything.  The FTT concluded that</w:t>
      </w:r>
      <w:r w:rsidR="00571AC8">
        <w:rPr>
          <w:szCs w:val="24"/>
        </w:rPr>
        <w:t xml:space="preserve"> the procedure in paragraphs 3 to 8 of</w:t>
      </w:r>
      <w:r w:rsidR="00CE160A" w:rsidRPr="00571AC8">
        <w:rPr>
          <w:szCs w:val="24"/>
        </w:rPr>
        <w:t xml:space="preserve"> </w:t>
      </w:r>
      <w:r w:rsidR="00F87309" w:rsidRPr="00571AC8">
        <w:rPr>
          <w:szCs w:val="24"/>
        </w:rPr>
        <w:t xml:space="preserve">Schedule </w:t>
      </w:r>
      <w:r w:rsidR="00CE160A" w:rsidRPr="00571AC8">
        <w:rPr>
          <w:szCs w:val="24"/>
        </w:rPr>
        <w:t>13A had not been complied with</w:t>
      </w:r>
      <w:r w:rsidR="009B4EA0" w:rsidRPr="00571AC8">
        <w:rPr>
          <w:szCs w:val="24"/>
        </w:rPr>
        <w:t xml:space="preserve"> </w:t>
      </w:r>
      <w:r w:rsidR="002F16F5">
        <w:rPr>
          <w:szCs w:val="24"/>
        </w:rPr>
        <w:t xml:space="preserve">by the Council </w:t>
      </w:r>
      <w:r w:rsidR="009B4EA0" w:rsidRPr="00571AC8">
        <w:rPr>
          <w:szCs w:val="24"/>
        </w:rPr>
        <w:t>and that the notices of intent</w:t>
      </w:r>
      <w:r w:rsidR="00571AC8">
        <w:rPr>
          <w:szCs w:val="24"/>
        </w:rPr>
        <w:t xml:space="preserve"> and the final penalty notice</w:t>
      </w:r>
      <w:r w:rsidR="009B4EA0" w:rsidRPr="00571AC8">
        <w:rPr>
          <w:szCs w:val="24"/>
        </w:rPr>
        <w:t xml:space="preserve"> were </w:t>
      </w:r>
      <w:r w:rsidR="002F16F5">
        <w:rPr>
          <w:szCs w:val="24"/>
        </w:rPr>
        <w:t xml:space="preserve">therefore </w:t>
      </w:r>
      <w:r w:rsidR="009B4EA0" w:rsidRPr="00571AC8">
        <w:rPr>
          <w:szCs w:val="24"/>
        </w:rPr>
        <w:t>invalid</w:t>
      </w:r>
      <w:r w:rsidR="00571AC8">
        <w:rPr>
          <w:szCs w:val="24"/>
        </w:rPr>
        <w:t xml:space="preserve"> and should be struck out</w:t>
      </w:r>
      <w:r w:rsidR="009B4EA0" w:rsidRPr="00571AC8">
        <w:rPr>
          <w:szCs w:val="24"/>
        </w:rPr>
        <w:t>.</w:t>
      </w:r>
    </w:p>
    <w:p w14:paraId="0617A233" w14:textId="09A1F0A5" w:rsidR="009B4EA0" w:rsidRDefault="009B4EA0" w:rsidP="001E2909">
      <w:pPr>
        <w:pStyle w:val="ListParagraph"/>
        <w:numPr>
          <w:ilvl w:val="0"/>
          <w:numId w:val="7"/>
        </w:numPr>
        <w:tabs>
          <w:tab w:val="left" w:pos="0"/>
        </w:tabs>
        <w:spacing w:after="360"/>
        <w:ind w:left="567" w:hanging="567"/>
        <w:contextualSpacing w:val="0"/>
        <w:jc w:val="both"/>
        <w:rPr>
          <w:szCs w:val="24"/>
        </w:rPr>
      </w:pPr>
      <w:r>
        <w:rPr>
          <w:szCs w:val="24"/>
        </w:rPr>
        <w:t xml:space="preserve">The remainder of the decision related to the third financial penalty </w:t>
      </w:r>
      <w:r w:rsidR="001B7F13">
        <w:rPr>
          <w:szCs w:val="24"/>
        </w:rPr>
        <w:t>im</w:t>
      </w:r>
      <w:r>
        <w:rPr>
          <w:szCs w:val="24"/>
        </w:rPr>
        <w:t xml:space="preserve">posed in respect of the delay in supplying </w:t>
      </w:r>
      <w:r w:rsidR="001B7F13">
        <w:rPr>
          <w:szCs w:val="24"/>
        </w:rPr>
        <w:t>an</w:t>
      </w:r>
      <w:r>
        <w:rPr>
          <w:szCs w:val="24"/>
        </w:rPr>
        <w:t xml:space="preserve"> EICR report.  </w:t>
      </w:r>
      <w:r w:rsidR="002F16F5">
        <w:rPr>
          <w:szCs w:val="24"/>
        </w:rPr>
        <w:t>The respondent did not dispute that there had been a breach of the relevant regulation and her challenge was to the quantum of the penalty, which the FTT reduced from £2,500 to £500.</w:t>
      </w:r>
    </w:p>
    <w:p w14:paraId="7E6B2F53" w14:textId="0591633B" w:rsidR="001E2909" w:rsidRPr="001E2909" w:rsidRDefault="001E2909" w:rsidP="001E2909">
      <w:pPr>
        <w:tabs>
          <w:tab w:val="left" w:pos="0"/>
        </w:tabs>
        <w:spacing w:after="360"/>
        <w:jc w:val="both"/>
        <w:rPr>
          <w:b/>
          <w:bCs/>
          <w:szCs w:val="24"/>
        </w:rPr>
      </w:pPr>
      <w:r w:rsidRPr="001E2909">
        <w:rPr>
          <w:b/>
          <w:bCs/>
          <w:szCs w:val="24"/>
        </w:rPr>
        <w:lastRenderedPageBreak/>
        <w:t>The grounds of appeal</w:t>
      </w:r>
    </w:p>
    <w:p w14:paraId="5BE105C3" w14:textId="343AF4FC" w:rsidR="00C81B3A" w:rsidRDefault="004B5EF3" w:rsidP="001E2909">
      <w:pPr>
        <w:pStyle w:val="ListParagraph"/>
        <w:numPr>
          <w:ilvl w:val="0"/>
          <w:numId w:val="7"/>
        </w:numPr>
        <w:tabs>
          <w:tab w:val="left" w:pos="0"/>
        </w:tabs>
        <w:spacing w:after="360"/>
        <w:ind w:left="567" w:hanging="567"/>
        <w:contextualSpacing w:val="0"/>
        <w:jc w:val="both"/>
        <w:rPr>
          <w:szCs w:val="24"/>
        </w:rPr>
      </w:pPr>
      <w:r w:rsidRPr="004B5EF3">
        <w:rPr>
          <w:szCs w:val="24"/>
        </w:rPr>
        <w:t xml:space="preserve">The respondent had not raised any </w:t>
      </w:r>
      <w:r w:rsidR="001B7F13">
        <w:rPr>
          <w:szCs w:val="24"/>
        </w:rPr>
        <w:t xml:space="preserve">allegation </w:t>
      </w:r>
      <w:r w:rsidRPr="004B5EF3">
        <w:rPr>
          <w:szCs w:val="24"/>
        </w:rPr>
        <w:t xml:space="preserve">of procedural non-compliance in her grounds of appeal to the FTT.  </w:t>
      </w:r>
      <w:r w:rsidR="001E2909">
        <w:rPr>
          <w:szCs w:val="24"/>
        </w:rPr>
        <w:t xml:space="preserve">Although in its standard directions the FTT </w:t>
      </w:r>
      <w:r w:rsidR="00284457">
        <w:rPr>
          <w:szCs w:val="24"/>
        </w:rPr>
        <w:t xml:space="preserve">itself </w:t>
      </w:r>
      <w:r w:rsidR="001E2909">
        <w:rPr>
          <w:szCs w:val="24"/>
        </w:rPr>
        <w:t>said that it would consider whether the Council had complied with the statutory procedure for imposing a financial penalty, it raised</w:t>
      </w:r>
      <w:r w:rsidR="00B97F9F">
        <w:rPr>
          <w:szCs w:val="24"/>
        </w:rPr>
        <w:t xml:space="preserve"> with</w:t>
      </w:r>
      <w:r w:rsidR="001E2909">
        <w:rPr>
          <w:szCs w:val="24"/>
        </w:rPr>
        <w:t xml:space="preserve"> </w:t>
      </w:r>
      <w:r w:rsidR="00B97F9F" w:rsidRPr="00B97F9F">
        <w:rPr>
          <w:szCs w:val="24"/>
        </w:rPr>
        <w:t xml:space="preserve">the Council’s lay representative </w:t>
      </w:r>
      <w:r w:rsidR="001E2909">
        <w:rPr>
          <w:szCs w:val="24"/>
        </w:rPr>
        <w:t xml:space="preserve">its specific concerns about the validity of the notices of intent </w:t>
      </w:r>
      <w:r w:rsidR="001B7F13" w:rsidRPr="001B7F13">
        <w:rPr>
          <w:szCs w:val="24"/>
        </w:rPr>
        <w:t xml:space="preserve">only </w:t>
      </w:r>
      <w:r w:rsidR="001E2909">
        <w:rPr>
          <w:szCs w:val="24"/>
        </w:rPr>
        <w:t xml:space="preserve">on the morning of the hearing and neither party had come prepared to address that issue.  </w:t>
      </w:r>
      <w:r>
        <w:rPr>
          <w:szCs w:val="24"/>
        </w:rPr>
        <w:t xml:space="preserve">After allowing </w:t>
      </w:r>
      <w:r w:rsidR="00B97F9F">
        <w:rPr>
          <w:szCs w:val="24"/>
        </w:rPr>
        <w:t>a short pause</w:t>
      </w:r>
      <w:r w:rsidR="00C81B3A">
        <w:rPr>
          <w:szCs w:val="24"/>
        </w:rPr>
        <w:t>,</w:t>
      </w:r>
      <w:r>
        <w:rPr>
          <w:szCs w:val="24"/>
        </w:rPr>
        <w:t xml:space="preserve"> the FTT proceeded to allow the appeal without giving proper time </w:t>
      </w:r>
      <w:r w:rsidR="00C81B3A">
        <w:rPr>
          <w:szCs w:val="24"/>
        </w:rPr>
        <w:t xml:space="preserve">for research and mature consideration.  </w:t>
      </w:r>
    </w:p>
    <w:p w14:paraId="63C4B8F9" w14:textId="623C2E23" w:rsidR="00711F9E" w:rsidRPr="00B97F9F" w:rsidRDefault="001E2909" w:rsidP="00392024">
      <w:pPr>
        <w:pStyle w:val="ListParagraph"/>
        <w:numPr>
          <w:ilvl w:val="0"/>
          <w:numId w:val="7"/>
        </w:numPr>
        <w:tabs>
          <w:tab w:val="left" w:pos="0"/>
        </w:tabs>
        <w:spacing w:after="360"/>
        <w:ind w:left="567" w:hanging="567"/>
        <w:contextualSpacing w:val="0"/>
        <w:jc w:val="both"/>
        <w:rPr>
          <w:szCs w:val="24"/>
        </w:rPr>
      </w:pPr>
      <w:r w:rsidRPr="00B97F9F">
        <w:rPr>
          <w:szCs w:val="24"/>
        </w:rPr>
        <w:t>Th</w:t>
      </w:r>
      <w:r w:rsidR="00C81B3A" w:rsidRPr="00B97F9F">
        <w:rPr>
          <w:szCs w:val="24"/>
        </w:rPr>
        <w:t xml:space="preserve">e procedure adopted by the FTT </w:t>
      </w:r>
      <w:r w:rsidRPr="00B97F9F">
        <w:rPr>
          <w:szCs w:val="24"/>
        </w:rPr>
        <w:t>was unfair</w:t>
      </w:r>
      <w:r w:rsidR="00711F9E" w:rsidRPr="00B97F9F">
        <w:rPr>
          <w:szCs w:val="24"/>
        </w:rPr>
        <w:t xml:space="preserve">. </w:t>
      </w:r>
      <w:r w:rsidRPr="00B97F9F">
        <w:rPr>
          <w:szCs w:val="24"/>
        </w:rPr>
        <w:t xml:space="preserve"> </w:t>
      </w:r>
      <w:r w:rsidR="00711F9E" w:rsidRPr="00B97F9F">
        <w:rPr>
          <w:szCs w:val="24"/>
        </w:rPr>
        <w:t>It w</w:t>
      </w:r>
      <w:r w:rsidR="001B7F13" w:rsidRPr="00B97F9F">
        <w:rPr>
          <w:szCs w:val="24"/>
        </w:rPr>
        <w:t xml:space="preserve">ould have been made fair if the FTT had allowed the parties an opportunity, after the hearing, to make any further submissions on the validity of the notices of intent </w:t>
      </w:r>
      <w:r w:rsidR="00EA16DF" w:rsidRPr="00EA16DF">
        <w:rPr>
          <w:szCs w:val="24"/>
        </w:rPr>
        <w:t xml:space="preserve">in writing </w:t>
      </w:r>
      <w:r w:rsidR="001B7F13" w:rsidRPr="00B97F9F">
        <w:rPr>
          <w:szCs w:val="24"/>
        </w:rPr>
        <w:t xml:space="preserve">before the FTT reached its decision. </w:t>
      </w:r>
      <w:r w:rsidR="00711F9E" w:rsidRPr="00B97F9F">
        <w:rPr>
          <w:szCs w:val="24"/>
        </w:rPr>
        <w:t xml:space="preserve"> That would have delayed the FTT in completing its determination, but it would have been fair to the parties and might have avoided the need for this appeal.</w:t>
      </w:r>
      <w:r w:rsidR="001B7F13" w:rsidRPr="00B97F9F">
        <w:rPr>
          <w:szCs w:val="24"/>
        </w:rPr>
        <w:t xml:space="preserve"> </w:t>
      </w:r>
      <w:r w:rsidR="00B97F9F" w:rsidRPr="00B97F9F">
        <w:rPr>
          <w:szCs w:val="24"/>
        </w:rPr>
        <w:t xml:space="preserve"> </w:t>
      </w:r>
      <w:r w:rsidR="00711F9E" w:rsidRPr="00B97F9F">
        <w:rPr>
          <w:szCs w:val="24"/>
        </w:rPr>
        <w:t xml:space="preserve">One consequence of the approach adopted by the FTT was that it made its decision without its attention having been drawn to the </w:t>
      </w:r>
      <w:r w:rsidR="00174D0F" w:rsidRPr="00B97F9F">
        <w:rPr>
          <w:i/>
          <w:iCs/>
          <w:szCs w:val="24"/>
        </w:rPr>
        <w:t>Jeyeanthan</w:t>
      </w:r>
      <w:r w:rsidR="00711F9E" w:rsidRPr="00B97F9F">
        <w:rPr>
          <w:szCs w:val="24"/>
        </w:rPr>
        <w:t xml:space="preserve"> principle or to the authorities which apply it, including </w:t>
      </w:r>
      <w:r w:rsidR="00711F9E" w:rsidRPr="00B97F9F">
        <w:rPr>
          <w:i/>
          <w:iCs/>
          <w:szCs w:val="24"/>
        </w:rPr>
        <w:t>Younis.</w:t>
      </w:r>
      <w:r w:rsidR="00711F9E" w:rsidRPr="00B97F9F">
        <w:rPr>
          <w:szCs w:val="24"/>
        </w:rPr>
        <w:t xml:space="preserve">  The FTT itself did not refer to any authority on the validity of a notice of intent or on the consequences of relying on an inadequate notice.  </w:t>
      </w:r>
    </w:p>
    <w:p w14:paraId="40970321" w14:textId="0E599D14" w:rsidR="00C81B3A" w:rsidRDefault="00C81B3A" w:rsidP="001E2909">
      <w:pPr>
        <w:pStyle w:val="ListParagraph"/>
        <w:numPr>
          <w:ilvl w:val="0"/>
          <w:numId w:val="7"/>
        </w:numPr>
        <w:tabs>
          <w:tab w:val="left" w:pos="0"/>
        </w:tabs>
        <w:spacing w:after="360"/>
        <w:ind w:left="567" w:hanging="567"/>
        <w:contextualSpacing w:val="0"/>
        <w:jc w:val="both"/>
        <w:rPr>
          <w:szCs w:val="24"/>
        </w:rPr>
      </w:pPr>
      <w:r>
        <w:rPr>
          <w:szCs w:val="24"/>
        </w:rPr>
        <w:t xml:space="preserve">The Council did not </w:t>
      </w:r>
      <w:r w:rsidR="00711F9E">
        <w:rPr>
          <w:szCs w:val="24"/>
        </w:rPr>
        <w:t xml:space="preserve">seek </w:t>
      </w:r>
      <w:r w:rsidR="00174D0F">
        <w:rPr>
          <w:szCs w:val="24"/>
        </w:rPr>
        <w:t xml:space="preserve">to rely on </w:t>
      </w:r>
      <w:r>
        <w:rPr>
          <w:szCs w:val="24"/>
        </w:rPr>
        <w:t>procedural unfairness</w:t>
      </w:r>
      <w:r w:rsidR="00174D0F">
        <w:rPr>
          <w:szCs w:val="24"/>
        </w:rPr>
        <w:t xml:space="preserve"> as a ground of appeal</w:t>
      </w:r>
      <w:r w:rsidR="009C1041">
        <w:rPr>
          <w:szCs w:val="24"/>
        </w:rPr>
        <w:t xml:space="preserve"> in this case</w:t>
      </w:r>
      <w:r>
        <w:rPr>
          <w:szCs w:val="24"/>
        </w:rPr>
        <w:t xml:space="preserve">, as it might have done, but </w:t>
      </w:r>
      <w:r w:rsidR="00174D0F">
        <w:rPr>
          <w:szCs w:val="24"/>
        </w:rPr>
        <w:t xml:space="preserve">sought </w:t>
      </w:r>
      <w:r w:rsidR="00174D0F" w:rsidRPr="00174D0F">
        <w:rPr>
          <w:szCs w:val="24"/>
        </w:rPr>
        <w:t xml:space="preserve">permission to appeal </w:t>
      </w:r>
      <w:r>
        <w:rPr>
          <w:szCs w:val="24"/>
        </w:rPr>
        <w:t>on the basis that the FTT had applied the wrong approach</w:t>
      </w:r>
      <w:r w:rsidR="00711F9E">
        <w:rPr>
          <w:szCs w:val="24"/>
        </w:rPr>
        <w:t xml:space="preserve"> when it held that the notices of intent were invalid and could not support the financial penalties.</w:t>
      </w:r>
      <w:r>
        <w:rPr>
          <w:szCs w:val="24"/>
        </w:rPr>
        <w:t xml:space="preserve">  I</w:t>
      </w:r>
      <w:r w:rsidR="00711F9E">
        <w:rPr>
          <w:szCs w:val="24"/>
        </w:rPr>
        <w:t xml:space="preserve">n its application </w:t>
      </w:r>
      <w:r w:rsidR="00174D0F">
        <w:rPr>
          <w:szCs w:val="24"/>
        </w:rPr>
        <w:t xml:space="preserve">for permission </w:t>
      </w:r>
      <w:r w:rsidR="00711F9E">
        <w:rPr>
          <w:szCs w:val="24"/>
        </w:rPr>
        <w:t>i</w:t>
      </w:r>
      <w:r>
        <w:rPr>
          <w:szCs w:val="24"/>
        </w:rPr>
        <w:t xml:space="preserve">t referred to the </w:t>
      </w:r>
      <w:r w:rsidR="00174D0F">
        <w:rPr>
          <w:szCs w:val="24"/>
        </w:rPr>
        <w:t xml:space="preserve">Tribunal’s </w:t>
      </w:r>
      <w:r>
        <w:rPr>
          <w:szCs w:val="24"/>
        </w:rPr>
        <w:t xml:space="preserve">decision </w:t>
      </w:r>
      <w:r w:rsidR="00711F9E">
        <w:rPr>
          <w:szCs w:val="24"/>
        </w:rPr>
        <w:t xml:space="preserve">in </w:t>
      </w:r>
      <w:r>
        <w:rPr>
          <w:i/>
          <w:iCs/>
          <w:szCs w:val="24"/>
        </w:rPr>
        <w:t>Younis</w:t>
      </w:r>
      <w:r w:rsidR="00711F9E">
        <w:rPr>
          <w:szCs w:val="24"/>
        </w:rPr>
        <w:t>, and i</w:t>
      </w:r>
      <w:r>
        <w:rPr>
          <w:szCs w:val="24"/>
        </w:rPr>
        <w:t xml:space="preserve">n refusing permission to appeal the FTT referred to </w:t>
      </w:r>
      <w:r>
        <w:rPr>
          <w:i/>
          <w:iCs/>
          <w:szCs w:val="24"/>
        </w:rPr>
        <w:t>Maharaj</w:t>
      </w:r>
      <w:r w:rsidR="00711F9E">
        <w:rPr>
          <w:i/>
          <w:iCs/>
          <w:szCs w:val="24"/>
        </w:rPr>
        <w:t xml:space="preserve"> </w:t>
      </w:r>
      <w:r w:rsidR="00711F9E" w:rsidRPr="00711F9E">
        <w:rPr>
          <w:szCs w:val="24"/>
        </w:rPr>
        <w:t>which it said had “settled the point”</w:t>
      </w:r>
      <w:r w:rsidRPr="00711F9E">
        <w:rPr>
          <w:szCs w:val="24"/>
        </w:rPr>
        <w:t>.</w:t>
      </w:r>
      <w:r>
        <w:rPr>
          <w:szCs w:val="24"/>
        </w:rPr>
        <w:t xml:space="preserve">  </w:t>
      </w:r>
    </w:p>
    <w:p w14:paraId="60F3EEC5" w14:textId="60407D87" w:rsidR="00297A21" w:rsidRDefault="00C81B3A" w:rsidP="00297A21">
      <w:pPr>
        <w:pStyle w:val="ListParagraph"/>
        <w:numPr>
          <w:ilvl w:val="0"/>
          <w:numId w:val="7"/>
        </w:numPr>
        <w:tabs>
          <w:tab w:val="left" w:pos="0"/>
        </w:tabs>
        <w:spacing w:after="360"/>
        <w:ind w:left="567" w:hanging="567"/>
        <w:contextualSpacing w:val="0"/>
        <w:jc w:val="both"/>
        <w:rPr>
          <w:szCs w:val="24"/>
        </w:rPr>
      </w:pPr>
      <w:r>
        <w:rPr>
          <w:szCs w:val="24"/>
        </w:rPr>
        <w:t xml:space="preserve">The Council renewed its application for permission to appeal to this Tribunal </w:t>
      </w:r>
      <w:r w:rsidR="00297A21">
        <w:rPr>
          <w:szCs w:val="24"/>
        </w:rPr>
        <w:t xml:space="preserve">and suggested that the decisions in </w:t>
      </w:r>
      <w:r w:rsidR="00297A21">
        <w:rPr>
          <w:i/>
          <w:iCs/>
          <w:szCs w:val="24"/>
        </w:rPr>
        <w:t>Younis</w:t>
      </w:r>
      <w:r w:rsidR="00297A21">
        <w:rPr>
          <w:szCs w:val="24"/>
        </w:rPr>
        <w:t xml:space="preserve"> and </w:t>
      </w:r>
      <w:r w:rsidR="00297A21">
        <w:rPr>
          <w:i/>
          <w:iCs/>
          <w:szCs w:val="24"/>
        </w:rPr>
        <w:t xml:space="preserve">Maharaj </w:t>
      </w:r>
      <w:r w:rsidR="00297A21">
        <w:rPr>
          <w:szCs w:val="24"/>
        </w:rPr>
        <w:t xml:space="preserve">were inconsistent with one another.  I </w:t>
      </w:r>
      <w:r w:rsidR="0078603B">
        <w:rPr>
          <w:szCs w:val="24"/>
        </w:rPr>
        <w:t xml:space="preserve">granted permission to appeal to enable that proposition to be considered, and I </w:t>
      </w:r>
      <w:r w:rsidR="00711F9E">
        <w:rPr>
          <w:szCs w:val="24"/>
        </w:rPr>
        <w:t>have already explained why I do not consider there is any such inconsistency.</w:t>
      </w:r>
      <w:r w:rsidR="0078603B">
        <w:rPr>
          <w:szCs w:val="24"/>
        </w:rPr>
        <w:t xml:space="preserve">  The two remaining issues on which</w:t>
      </w:r>
      <w:r w:rsidR="00297A21">
        <w:rPr>
          <w:szCs w:val="24"/>
        </w:rPr>
        <w:t xml:space="preserve"> permission to appeal </w:t>
      </w:r>
      <w:r w:rsidR="0078603B">
        <w:rPr>
          <w:szCs w:val="24"/>
        </w:rPr>
        <w:t>was granted were</w:t>
      </w:r>
      <w:r w:rsidR="00297A21">
        <w:rPr>
          <w:szCs w:val="24"/>
        </w:rPr>
        <w:t>:</w:t>
      </w:r>
    </w:p>
    <w:p w14:paraId="17B87D9F" w14:textId="77777777" w:rsidR="002D2859" w:rsidRPr="00297A21" w:rsidRDefault="002D2859" w:rsidP="002D2859">
      <w:pPr>
        <w:pStyle w:val="ListParagraph"/>
        <w:numPr>
          <w:ilvl w:val="0"/>
          <w:numId w:val="11"/>
        </w:numPr>
        <w:tabs>
          <w:tab w:val="left" w:pos="0"/>
        </w:tabs>
        <w:spacing w:after="360"/>
        <w:contextualSpacing w:val="0"/>
        <w:jc w:val="both"/>
        <w:rPr>
          <w:spacing w:val="0"/>
          <w:szCs w:val="24"/>
        </w:rPr>
      </w:pPr>
      <w:r w:rsidRPr="00297A21">
        <w:rPr>
          <w:spacing w:val="0"/>
          <w:szCs w:val="24"/>
        </w:rPr>
        <w:t>Whether</w:t>
      </w:r>
      <w:r>
        <w:rPr>
          <w:spacing w:val="0"/>
          <w:szCs w:val="24"/>
        </w:rPr>
        <w:t xml:space="preserve"> </w:t>
      </w:r>
      <w:r w:rsidRPr="00297A21">
        <w:rPr>
          <w:spacing w:val="0"/>
          <w:szCs w:val="24"/>
        </w:rPr>
        <w:t>the requirement to state reasons in a notice of intent was satisfied in this case.</w:t>
      </w:r>
    </w:p>
    <w:p w14:paraId="1BB7FBEE" w14:textId="4AFB7082" w:rsidR="002D2859" w:rsidRPr="00297A21" w:rsidRDefault="002D2859" w:rsidP="002D2859">
      <w:pPr>
        <w:pStyle w:val="ListParagraph"/>
        <w:numPr>
          <w:ilvl w:val="0"/>
          <w:numId w:val="11"/>
        </w:numPr>
        <w:tabs>
          <w:tab w:val="left" w:pos="0"/>
        </w:tabs>
        <w:spacing w:after="360"/>
        <w:contextualSpacing w:val="0"/>
        <w:jc w:val="both"/>
        <w:rPr>
          <w:szCs w:val="24"/>
        </w:rPr>
      </w:pPr>
      <w:r>
        <w:rPr>
          <w:spacing w:val="0"/>
          <w:szCs w:val="24"/>
        </w:rPr>
        <w:t>If not, w</w:t>
      </w:r>
      <w:r w:rsidRPr="00297A21">
        <w:rPr>
          <w:spacing w:val="0"/>
          <w:szCs w:val="24"/>
        </w:rPr>
        <w:t>hether the effect of providing an insufficiently precise statement of reasons in a notice of intent is that the notice of intent and the subsequent final penalty notice are void.</w:t>
      </w:r>
    </w:p>
    <w:p w14:paraId="513458D3" w14:textId="4260280C" w:rsidR="002D2859" w:rsidRPr="002D2859" w:rsidRDefault="009023E5" w:rsidP="002D2859">
      <w:pPr>
        <w:tabs>
          <w:tab w:val="left" w:pos="0"/>
        </w:tabs>
        <w:spacing w:after="360"/>
        <w:jc w:val="both"/>
        <w:rPr>
          <w:b/>
          <w:bCs/>
          <w:szCs w:val="24"/>
        </w:rPr>
      </w:pPr>
      <w:r>
        <w:rPr>
          <w:b/>
          <w:bCs/>
          <w:szCs w:val="24"/>
        </w:rPr>
        <w:t>Ground</w:t>
      </w:r>
      <w:r w:rsidR="002D2859" w:rsidRPr="002D2859">
        <w:rPr>
          <w:b/>
          <w:bCs/>
          <w:szCs w:val="24"/>
        </w:rPr>
        <w:t xml:space="preserve"> 1: Did the notices of intent comply with the requirement to state the Council’s reasons for proposing to impose the financial penalty?</w:t>
      </w:r>
    </w:p>
    <w:p w14:paraId="4EB1F62F" w14:textId="5558DF27" w:rsidR="00B13083" w:rsidRPr="00B97F9F" w:rsidRDefault="002D2859" w:rsidP="00B97F9F">
      <w:pPr>
        <w:pStyle w:val="ListParagraph"/>
        <w:numPr>
          <w:ilvl w:val="0"/>
          <w:numId w:val="7"/>
        </w:numPr>
        <w:tabs>
          <w:tab w:val="left" w:pos="0"/>
        </w:tabs>
        <w:spacing w:after="360"/>
        <w:ind w:left="567" w:hanging="567"/>
        <w:contextualSpacing w:val="0"/>
        <w:jc w:val="both"/>
        <w:rPr>
          <w:szCs w:val="24"/>
        </w:rPr>
      </w:pPr>
      <w:r>
        <w:rPr>
          <w:szCs w:val="24"/>
        </w:rPr>
        <w:t xml:space="preserve">In support of the appeal Ms O’Leary first stressed some propositions derived the Tribunal’s decision in </w:t>
      </w:r>
      <w:r>
        <w:rPr>
          <w:i/>
          <w:iCs/>
          <w:szCs w:val="24"/>
        </w:rPr>
        <w:t>Younis</w:t>
      </w:r>
      <w:r>
        <w:rPr>
          <w:szCs w:val="24"/>
        </w:rPr>
        <w:t xml:space="preserve">.  </w:t>
      </w:r>
      <w:r w:rsidRPr="00B97F9F">
        <w:rPr>
          <w:szCs w:val="24"/>
        </w:rPr>
        <w:t>A</w:t>
      </w:r>
      <w:r w:rsidR="00B13083" w:rsidRPr="00B97F9F">
        <w:rPr>
          <w:szCs w:val="24"/>
        </w:rPr>
        <w:t>t [48] the Tribunal stated that a</w:t>
      </w:r>
      <w:r w:rsidRPr="00B97F9F">
        <w:rPr>
          <w:szCs w:val="24"/>
        </w:rPr>
        <w:t xml:space="preserve">ppeals against </w:t>
      </w:r>
      <w:r w:rsidR="00B13083" w:rsidRPr="00B97F9F">
        <w:rPr>
          <w:szCs w:val="24"/>
        </w:rPr>
        <w:t xml:space="preserve">financial penalties </w:t>
      </w:r>
      <w:r w:rsidRPr="00B97F9F">
        <w:rPr>
          <w:szCs w:val="24"/>
        </w:rPr>
        <w:t>are civil proceedings</w:t>
      </w:r>
      <w:r w:rsidR="00B13083" w:rsidRPr="00B97F9F">
        <w:rPr>
          <w:szCs w:val="24"/>
        </w:rPr>
        <w:t xml:space="preserve"> which do not </w:t>
      </w:r>
      <w:r w:rsidRPr="00B97F9F">
        <w:rPr>
          <w:szCs w:val="24"/>
        </w:rPr>
        <w:t xml:space="preserve">import criminal procedure, notwithstanding that they offer an alternative to prosecution and the </w:t>
      </w:r>
      <w:r w:rsidR="00B13083" w:rsidRPr="00B97F9F">
        <w:rPr>
          <w:szCs w:val="24"/>
        </w:rPr>
        <w:t xml:space="preserve">facts which amount to the </w:t>
      </w:r>
      <w:r w:rsidRPr="00B97F9F">
        <w:rPr>
          <w:szCs w:val="24"/>
        </w:rPr>
        <w:t>commission of an offence</w:t>
      </w:r>
      <w:r w:rsidR="00B13083" w:rsidRPr="00B97F9F">
        <w:rPr>
          <w:szCs w:val="24"/>
        </w:rPr>
        <w:t xml:space="preserve"> must be proved</w:t>
      </w:r>
      <w:r w:rsidRPr="00B97F9F">
        <w:rPr>
          <w:szCs w:val="24"/>
        </w:rPr>
        <w:t xml:space="preserve"> beyond reasonable doubt.</w:t>
      </w:r>
      <w:r w:rsidR="00B13083" w:rsidRPr="00B97F9F">
        <w:rPr>
          <w:szCs w:val="24"/>
        </w:rPr>
        <w:t xml:space="preserve">  No form of notice had been prescribed, nor would </w:t>
      </w:r>
      <w:r w:rsidR="00B13083" w:rsidRPr="00B97F9F">
        <w:rPr>
          <w:szCs w:val="24"/>
        </w:rPr>
        <w:lastRenderedPageBreak/>
        <w:t>it be possible to be prescriptive about the contents of the reasons which must be stated, given the variety of circumstances in which civil penalties m</w:t>
      </w:r>
      <w:r w:rsidR="00640B98">
        <w:rPr>
          <w:szCs w:val="24"/>
        </w:rPr>
        <w:t>ay</w:t>
      </w:r>
      <w:r w:rsidR="00B13083" w:rsidRPr="00B97F9F">
        <w:rPr>
          <w:szCs w:val="24"/>
        </w:rPr>
        <w:t xml:space="preserve"> be imposed.  The purpose of requiring an authority to state its reasons was so that the recipient could respond with their own representations, </w:t>
      </w:r>
      <w:r w:rsidR="009C1041">
        <w:rPr>
          <w:szCs w:val="24"/>
        </w:rPr>
        <w:t>and</w:t>
      </w:r>
      <w:r w:rsidR="00B13083" w:rsidRPr="00B97F9F">
        <w:rPr>
          <w:szCs w:val="24"/>
        </w:rPr>
        <w:t xml:space="preserve"> what was required of a notice of intent was that it provide a sufficient account of the authority’s reasons for proposing the penalty “to enable the recipient to understand what conduct or omission is being said to amount to the offence which has been identified”. </w:t>
      </w:r>
    </w:p>
    <w:p w14:paraId="43E5008C" w14:textId="77777777" w:rsidR="00B97F9F" w:rsidRDefault="00B13083" w:rsidP="00B97F9F">
      <w:pPr>
        <w:pStyle w:val="ListParagraph"/>
        <w:numPr>
          <w:ilvl w:val="0"/>
          <w:numId w:val="7"/>
        </w:numPr>
        <w:tabs>
          <w:tab w:val="left" w:pos="0"/>
        </w:tabs>
        <w:spacing w:after="360"/>
        <w:ind w:left="567" w:hanging="567"/>
        <w:contextualSpacing w:val="0"/>
        <w:jc w:val="both"/>
        <w:rPr>
          <w:szCs w:val="24"/>
        </w:rPr>
      </w:pPr>
      <w:r>
        <w:rPr>
          <w:szCs w:val="24"/>
        </w:rPr>
        <w:t xml:space="preserve">Pausing there, it should not be thought that, in stressing that these are civil rather than criminal proceedings, the Tribunal was </w:t>
      </w:r>
      <w:r w:rsidR="005B0CAB">
        <w:rPr>
          <w:szCs w:val="24"/>
        </w:rPr>
        <w:t>imply</w:t>
      </w:r>
      <w:r>
        <w:rPr>
          <w:szCs w:val="24"/>
        </w:rPr>
        <w:t>ing that</w:t>
      </w:r>
      <w:r w:rsidR="005B0CAB">
        <w:rPr>
          <w:szCs w:val="24"/>
        </w:rPr>
        <w:t xml:space="preserve"> a lax approach to compliance with procedural requirements was acceptable.  As the passage from which that observation was taken makes clear when read as a whole, the point which was being made was that financial penalty proceedings are governed by tribunal rules and import the tribunal’s overriding objective of dealing with cases fairly and justly.  That requires that the recipient of a notice of intent should not be subjected to substantial financial penalties (often much higher than those which would be imposed by a criminal court for the same offence) </w:t>
      </w:r>
      <w:r w:rsidR="00CB5D94">
        <w:rPr>
          <w:szCs w:val="24"/>
        </w:rPr>
        <w:t xml:space="preserve">without </w:t>
      </w:r>
      <w:r w:rsidR="005B0CAB">
        <w:rPr>
          <w:szCs w:val="24"/>
        </w:rPr>
        <w:t>be</w:t>
      </w:r>
      <w:r w:rsidR="00CB5D94">
        <w:rPr>
          <w:szCs w:val="24"/>
        </w:rPr>
        <w:t>ing</w:t>
      </w:r>
      <w:r w:rsidR="005B0CAB">
        <w:rPr>
          <w:szCs w:val="24"/>
        </w:rPr>
        <w:t xml:space="preserve"> given fair warning of the case against them and a fair opportunity to respond to it.  In this respect, civil and criminal practice do not operate by reference to different standards of transparency.  </w:t>
      </w:r>
      <w:r w:rsidR="00CB5D94">
        <w:rPr>
          <w:szCs w:val="24"/>
        </w:rPr>
        <w:t>Moreover, a</w:t>
      </w:r>
      <w:r w:rsidR="005B0CAB">
        <w:rPr>
          <w:szCs w:val="24"/>
        </w:rPr>
        <w:t>s</w:t>
      </w:r>
      <w:r w:rsidR="00CB5D94">
        <w:rPr>
          <w:szCs w:val="24"/>
        </w:rPr>
        <w:t xml:space="preserve"> the criminal case of</w:t>
      </w:r>
      <w:r w:rsidR="005B0CAB">
        <w:rPr>
          <w:szCs w:val="24"/>
        </w:rPr>
        <w:t xml:space="preserve"> </w:t>
      </w:r>
      <w:r w:rsidR="00CB5D94" w:rsidRPr="00CB5D94">
        <w:rPr>
          <w:i/>
          <w:iCs/>
          <w:szCs w:val="24"/>
        </w:rPr>
        <w:t>Nash</w:t>
      </w:r>
      <w:r w:rsidR="00CB5D94">
        <w:rPr>
          <w:szCs w:val="24"/>
        </w:rPr>
        <w:t>, referred to in paragraph [24] above,</w:t>
      </w:r>
      <w:r w:rsidR="00CB5D94" w:rsidRPr="00CB5D94">
        <w:rPr>
          <w:i/>
          <w:iCs/>
          <w:szCs w:val="24"/>
        </w:rPr>
        <w:t xml:space="preserve"> </w:t>
      </w:r>
      <w:r w:rsidR="00CB5D94">
        <w:rPr>
          <w:szCs w:val="24"/>
        </w:rPr>
        <w:t xml:space="preserve">illustrates, while a </w:t>
      </w:r>
      <w:r w:rsidR="00CB5D94" w:rsidRPr="00CB5D94">
        <w:rPr>
          <w:szCs w:val="24"/>
        </w:rPr>
        <w:t>“wide and vague</w:t>
      </w:r>
      <w:r w:rsidR="00CB5D94">
        <w:rPr>
          <w:szCs w:val="24"/>
        </w:rPr>
        <w:t>”</w:t>
      </w:r>
      <w:r w:rsidR="00CB5D94" w:rsidRPr="00CB5D94">
        <w:rPr>
          <w:szCs w:val="24"/>
        </w:rPr>
        <w:t xml:space="preserve"> </w:t>
      </w:r>
      <w:r w:rsidR="00CB5D94">
        <w:rPr>
          <w:szCs w:val="24"/>
        </w:rPr>
        <w:t xml:space="preserve">statement of a charge will not be </w:t>
      </w:r>
      <w:r w:rsidR="00CB5D94" w:rsidRPr="00CB5D94">
        <w:rPr>
          <w:szCs w:val="24"/>
        </w:rPr>
        <w:t>sufficient for the purpose of a</w:t>
      </w:r>
      <w:r w:rsidR="00CB5D94">
        <w:rPr>
          <w:szCs w:val="24"/>
        </w:rPr>
        <w:t xml:space="preserve"> criminal</w:t>
      </w:r>
      <w:r w:rsidR="00CB5D94" w:rsidRPr="00CB5D94">
        <w:rPr>
          <w:szCs w:val="24"/>
        </w:rPr>
        <w:t xml:space="preserve"> summons</w:t>
      </w:r>
      <w:r w:rsidR="00CB5D94">
        <w:rPr>
          <w:szCs w:val="24"/>
        </w:rPr>
        <w:t>, a summons which is defective in that way will not</w:t>
      </w:r>
      <w:r w:rsidR="00CB5D94" w:rsidRPr="00CB5D94">
        <w:rPr>
          <w:szCs w:val="24"/>
        </w:rPr>
        <w:t xml:space="preserve"> render the </w:t>
      </w:r>
      <w:r w:rsidR="00CB5D94">
        <w:rPr>
          <w:szCs w:val="24"/>
        </w:rPr>
        <w:t xml:space="preserve">subsequent </w:t>
      </w:r>
      <w:r w:rsidR="00CB5D94" w:rsidRPr="00CB5D94">
        <w:rPr>
          <w:szCs w:val="24"/>
        </w:rPr>
        <w:t xml:space="preserve">proceedings a nullity or any resulting conviction unsafe, provided that the requisite information was given to the </w:t>
      </w:r>
      <w:r w:rsidR="00CB5D94">
        <w:rPr>
          <w:szCs w:val="24"/>
        </w:rPr>
        <w:t>recipie</w:t>
      </w:r>
      <w:r w:rsidR="00CB5D94" w:rsidRPr="00CB5D94">
        <w:rPr>
          <w:szCs w:val="24"/>
        </w:rPr>
        <w:t xml:space="preserve">nt in good time </w:t>
      </w:r>
      <w:r w:rsidR="00CB5D94">
        <w:rPr>
          <w:szCs w:val="24"/>
        </w:rPr>
        <w:t xml:space="preserve">to enable them </w:t>
      </w:r>
      <w:r w:rsidR="00CB5D94" w:rsidRPr="00CB5D94">
        <w:rPr>
          <w:szCs w:val="24"/>
        </w:rPr>
        <w:t xml:space="preserve">to be able fairly to meet the case against </w:t>
      </w:r>
      <w:r w:rsidR="00CB5D94">
        <w:rPr>
          <w:szCs w:val="24"/>
        </w:rPr>
        <w:t>th</w:t>
      </w:r>
      <w:r w:rsidR="00CB5D94" w:rsidRPr="00CB5D94">
        <w:rPr>
          <w:szCs w:val="24"/>
        </w:rPr>
        <w:t>e</w:t>
      </w:r>
      <w:r w:rsidR="00CB5D94">
        <w:rPr>
          <w:szCs w:val="24"/>
        </w:rPr>
        <w:t>m</w:t>
      </w:r>
      <w:r w:rsidR="00CB5D94" w:rsidRPr="00CB5D94">
        <w:rPr>
          <w:szCs w:val="24"/>
        </w:rPr>
        <w:t>.</w:t>
      </w:r>
      <w:r w:rsidR="005B0CAB">
        <w:rPr>
          <w:szCs w:val="24"/>
        </w:rPr>
        <w:t xml:space="preserve">  </w:t>
      </w:r>
    </w:p>
    <w:p w14:paraId="2F9F58D3" w14:textId="615FDB6B" w:rsidR="00B97F9F" w:rsidRDefault="00B97F9F" w:rsidP="00B97F9F">
      <w:pPr>
        <w:pStyle w:val="ListParagraph"/>
        <w:numPr>
          <w:ilvl w:val="0"/>
          <w:numId w:val="7"/>
        </w:numPr>
        <w:tabs>
          <w:tab w:val="left" w:pos="0"/>
        </w:tabs>
        <w:spacing w:after="360"/>
        <w:ind w:left="567" w:hanging="567"/>
        <w:contextualSpacing w:val="0"/>
        <w:jc w:val="both"/>
        <w:rPr>
          <w:szCs w:val="24"/>
        </w:rPr>
      </w:pPr>
      <w:r>
        <w:rPr>
          <w:szCs w:val="24"/>
        </w:rPr>
        <w:t xml:space="preserve">Ms O’Leary submitted that the </w:t>
      </w:r>
      <w:r w:rsidRPr="00B97F9F">
        <w:rPr>
          <w:szCs w:val="24"/>
        </w:rPr>
        <w:t xml:space="preserve">FTT </w:t>
      </w:r>
      <w:r>
        <w:rPr>
          <w:szCs w:val="24"/>
        </w:rPr>
        <w:t>had been</w:t>
      </w:r>
      <w:r w:rsidRPr="00B97F9F">
        <w:rPr>
          <w:szCs w:val="24"/>
        </w:rPr>
        <w:t xml:space="preserve"> wrong to </w:t>
      </w:r>
      <w:r>
        <w:rPr>
          <w:szCs w:val="24"/>
        </w:rPr>
        <w:t xml:space="preserve">regard </w:t>
      </w:r>
      <w:r w:rsidRPr="00B97F9F">
        <w:rPr>
          <w:szCs w:val="24"/>
        </w:rPr>
        <w:t>the</w:t>
      </w:r>
      <w:r>
        <w:rPr>
          <w:szCs w:val="24"/>
        </w:rPr>
        <w:t xml:space="preserve"> notices of intent as inadequate</w:t>
      </w:r>
      <w:r w:rsidR="00CA477B">
        <w:rPr>
          <w:szCs w:val="24"/>
        </w:rPr>
        <w:t>, and it should have found that they provided a sufficient statement of the Council’s reasons.  B</w:t>
      </w:r>
      <w:r w:rsidRPr="00B97F9F">
        <w:rPr>
          <w:szCs w:val="24"/>
        </w:rPr>
        <w:t xml:space="preserve">oth </w:t>
      </w:r>
      <w:r w:rsidR="00CA477B">
        <w:rPr>
          <w:szCs w:val="24"/>
        </w:rPr>
        <w:t>n</w:t>
      </w:r>
      <w:r w:rsidRPr="00B97F9F">
        <w:rPr>
          <w:szCs w:val="24"/>
        </w:rPr>
        <w:t>otices</w:t>
      </w:r>
      <w:r w:rsidR="00CA477B">
        <w:rPr>
          <w:szCs w:val="24"/>
        </w:rPr>
        <w:t xml:space="preserve"> identified the property concerned, the name of the intended recipient, her relevant capacity (licence holder, owner and person managing), the particular regulation which was said to have been breached in each case (regulations 4 and 7), the statutory provision which made it an offence to commit that breach (section 234), the provision under which the financial penalty was proposed as an alternative to prosecution (section 249A), and the amount of the proposed penalty.  In each case the statement of the offence </w:t>
      </w:r>
      <w:r w:rsidRPr="00B97F9F">
        <w:rPr>
          <w:szCs w:val="24"/>
        </w:rPr>
        <w:t>was sufficient t</w:t>
      </w:r>
      <w:r w:rsidR="00CA477B">
        <w:rPr>
          <w:szCs w:val="24"/>
        </w:rPr>
        <w:t>o</w:t>
      </w:r>
      <w:r w:rsidRPr="00B97F9F">
        <w:rPr>
          <w:szCs w:val="24"/>
        </w:rPr>
        <w:t xml:space="preserve"> identif</w:t>
      </w:r>
      <w:r w:rsidR="00CA477B">
        <w:rPr>
          <w:szCs w:val="24"/>
        </w:rPr>
        <w:t>y</w:t>
      </w:r>
      <w:r w:rsidRPr="00B97F9F">
        <w:rPr>
          <w:szCs w:val="24"/>
        </w:rPr>
        <w:t xml:space="preserve"> the conduct or omission said to amount to </w:t>
      </w:r>
      <w:r w:rsidR="00CA477B">
        <w:rPr>
          <w:szCs w:val="24"/>
        </w:rPr>
        <w:t xml:space="preserve">the </w:t>
      </w:r>
      <w:r w:rsidRPr="00B97F9F">
        <w:rPr>
          <w:szCs w:val="24"/>
        </w:rPr>
        <w:t>relevant offence</w:t>
      </w:r>
      <w:r w:rsidR="00CA477B">
        <w:rPr>
          <w:szCs w:val="24"/>
        </w:rPr>
        <w:t xml:space="preserve"> and to identify the date on which it was said to</w:t>
      </w:r>
      <w:r w:rsidR="0082636E">
        <w:rPr>
          <w:szCs w:val="24"/>
        </w:rPr>
        <w:t xml:space="preserve"> </w:t>
      </w:r>
      <w:r w:rsidR="00CA477B">
        <w:rPr>
          <w:szCs w:val="24"/>
        </w:rPr>
        <w:t xml:space="preserve">have been committed, </w:t>
      </w:r>
      <w:r w:rsidR="00CA477B" w:rsidRPr="00CA477B">
        <w:rPr>
          <w:szCs w:val="24"/>
        </w:rPr>
        <w:t>27 October 2021</w:t>
      </w:r>
      <w:r w:rsidR="00CA477B">
        <w:rPr>
          <w:szCs w:val="24"/>
        </w:rPr>
        <w:t xml:space="preserve">.  There was therefore </w:t>
      </w:r>
      <w:r w:rsidRPr="00B97F9F">
        <w:rPr>
          <w:szCs w:val="24"/>
        </w:rPr>
        <w:t xml:space="preserve">substantial </w:t>
      </w:r>
      <w:r w:rsidR="0082636E">
        <w:rPr>
          <w:szCs w:val="24"/>
        </w:rPr>
        <w:t xml:space="preserve">or adequate </w:t>
      </w:r>
      <w:r w:rsidRPr="00B97F9F">
        <w:rPr>
          <w:szCs w:val="24"/>
        </w:rPr>
        <w:t>compliance</w:t>
      </w:r>
      <w:r w:rsidR="0082636E">
        <w:rPr>
          <w:szCs w:val="24"/>
        </w:rPr>
        <w:t xml:space="preserve"> with the requirement to state the Council’s reasons and the notices of intent were valid</w:t>
      </w:r>
      <w:r w:rsidRPr="00B97F9F">
        <w:rPr>
          <w:szCs w:val="24"/>
        </w:rPr>
        <w:t xml:space="preserve">.  </w:t>
      </w:r>
    </w:p>
    <w:p w14:paraId="357182CB" w14:textId="32FF565A" w:rsidR="0082636E" w:rsidRDefault="0082636E" w:rsidP="00B97F9F">
      <w:pPr>
        <w:pStyle w:val="ListParagraph"/>
        <w:numPr>
          <w:ilvl w:val="0"/>
          <w:numId w:val="7"/>
        </w:numPr>
        <w:tabs>
          <w:tab w:val="left" w:pos="0"/>
        </w:tabs>
        <w:spacing w:after="360"/>
        <w:ind w:left="567" w:hanging="567"/>
        <w:contextualSpacing w:val="0"/>
        <w:jc w:val="both"/>
        <w:rPr>
          <w:szCs w:val="24"/>
        </w:rPr>
      </w:pPr>
      <w:r>
        <w:rPr>
          <w:szCs w:val="24"/>
        </w:rPr>
        <w:t>The FTT</w:t>
      </w:r>
      <w:r w:rsidRPr="0082636E">
        <w:rPr>
          <w:szCs w:val="24"/>
        </w:rPr>
        <w:t xml:space="preserve"> </w:t>
      </w:r>
      <w:r>
        <w:rPr>
          <w:szCs w:val="24"/>
        </w:rPr>
        <w:t xml:space="preserve">had erred, Ms O’Leary suggested, when it said that a notice of intent must state the allegation </w:t>
      </w:r>
      <w:r w:rsidRPr="0082636E">
        <w:rPr>
          <w:szCs w:val="24"/>
        </w:rPr>
        <w:t>“precisely</w:t>
      </w:r>
      <w:r>
        <w:rPr>
          <w:szCs w:val="24"/>
        </w:rPr>
        <w:t>” so that the recipient’s representations could be “</w:t>
      </w:r>
      <w:r w:rsidRPr="0082636E">
        <w:rPr>
          <w:szCs w:val="24"/>
        </w:rPr>
        <w:t>as effective as possible</w:t>
      </w:r>
      <w:r>
        <w:rPr>
          <w:szCs w:val="24"/>
        </w:rPr>
        <w:t xml:space="preserve">”.  </w:t>
      </w:r>
    </w:p>
    <w:p w14:paraId="0492D96E" w14:textId="77777777" w:rsidR="00DC7383" w:rsidRDefault="0082636E" w:rsidP="00DC7383">
      <w:pPr>
        <w:pStyle w:val="ListParagraph"/>
        <w:numPr>
          <w:ilvl w:val="0"/>
          <w:numId w:val="7"/>
        </w:numPr>
        <w:tabs>
          <w:tab w:val="left" w:pos="0"/>
        </w:tabs>
        <w:spacing w:after="360"/>
        <w:ind w:left="567" w:hanging="567"/>
        <w:contextualSpacing w:val="0"/>
        <w:jc w:val="both"/>
        <w:rPr>
          <w:szCs w:val="24"/>
        </w:rPr>
      </w:pPr>
      <w:r>
        <w:rPr>
          <w:szCs w:val="24"/>
        </w:rPr>
        <w:t>I do not believe it is productive to compare the terms used by different decision makers to describe the requirements of a sufficient notice of intent.  What is important is that the notice should equip the recipient with the information they require to enable them to answer the charge against the</w:t>
      </w:r>
      <w:r w:rsidR="00733E1F">
        <w:rPr>
          <w:szCs w:val="24"/>
        </w:rPr>
        <w:t>m</w:t>
      </w:r>
      <w:r>
        <w:rPr>
          <w:szCs w:val="24"/>
        </w:rPr>
        <w:t xml:space="preserve">.  </w:t>
      </w:r>
      <w:r w:rsidR="00733E1F">
        <w:rPr>
          <w:szCs w:val="24"/>
        </w:rPr>
        <w:t>In my judgment t</w:t>
      </w:r>
      <w:r>
        <w:rPr>
          <w:szCs w:val="24"/>
        </w:rPr>
        <w:t>he only important distinction is between a notice which achieves that purpose and one which does not.</w:t>
      </w:r>
      <w:r w:rsidR="00733E1F">
        <w:rPr>
          <w:szCs w:val="24"/>
        </w:rPr>
        <w:t xml:space="preserve">  </w:t>
      </w:r>
    </w:p>
    <w:p w14:paraId="23EC80A9" w14:textId="045D3563" w:rsidR="00EF33E9" w:rsidRDefault="00733E1F" w:rsidP="00B97F9F">
      <w:pPr>
        <w:pStyle w:val="ListParagraph"/>
        <w:numPr>
          <w:ilvl w:val="0"/>
          <w:numId w:val="7"/>
        </w:numPr>
        <w:tabs>
          <w:tab w:val="left" w:pos="0"/>
        </w:tabs>
        <w:spacing w:after="360"/>
        <w:ind w:left="567" w:hanging="567"/>
        <w:contextualSpacing w:val="0"/>
        <w:jc w:val="both"/>
        <w:rPr>
          <w:szCs w:val="24"/>
        </w:rPr>
      </w:pPr>
      <w:r>
        <w:rPr>
          <w:szCs w:val="24"/>
        </w:rPr>
        <w:lastRenderedPageBreak/>
        <w:t xml:space="preserve">How precise or particular the contents of a notice must be to achieve that requirement will depend on the circumstances of the case which may include the recipient’s knowledge of other facts.  </w:t>
      </w:r>
      <w:r w:rsidR="00EF33E9">
        <w:rPr>
          <w:szCs w:val="24"/>
        </w:rPr>
        <w:t xml:space="preserve">As Lord Steyn explained in </w:t>
      </w:r>
      <w:bookmarkStart w:id="5" w:name="_Hlk157010017"/>
      <w:r w:rsidR="00EF33E9">
        <w:rPr>
          <w:i/>
          <w:iCs/>
          <w:szCs w:val="24"/>
        </w:rPr>
        <w:t xml:space="preserve">Mannai Investment Co Ltd v Eagle Star Life Assurance Co. Ltd </w:t>
      </w:r>
      <w:r w:rsidR="00EF33E9">
        <w:rPr>
          <w:szCs w:val="24"/>
        </w:rPr>
        <w:t>[1997] AC 749</w:t>
      </w:r>
      <w:bookmarkEnd w:id="5"/>
      <w:r w:rsidR="00EF33E9">
        <w:rPr>
          <w:szCs w:val="24"/>
        </w:rPr>
        <w:t>, at 767D, the validity of a notice is to be assessed objectively, by asking how a reasonable recipient would have understood it.  In considering that question the reasonable recipient is taken to be aware of what Lord Steyn called “the relevant objective contextual scene”.  That scene will include matters known to the actual recipient which would influence their understanding of the notice.  Those matters are taken to be within the knowledge of the notional reasonable recipient.</w:t>
      </w:r>
    </w:p>
    <w:p w14:paraId="703A1D70" w14:textId="4D75C019" w:rsidR="00DC7383" w:rsidRDefault="00733E1F" w:rsidP="00B97F9F">
      <w:pPr>
        <w:pStyle w:val="ListParagraph"/>
        <w:numPr>
          <w:ilvl w:val="0"/>
          <w:numId w:val="7"/>
        </w:numPr>
        <w:tabs>
          <w:tab w:val="left" w:pos="0"/>
        </w:tabs>
        <w:spacing w:after="360"/>
        <w:ind w:left="567" w:hanging="567"/>
        <w:contextualSpacing w:val="0"/>
        <w:jc w:val="both"/>
        <w:rPr>
          <w:szCs w:val="24"/>
        </w:rPr>
      </w:pPr>
      <w:r>
        <w:rPr>
          <w:szCs w:val="24"/>
        </w:rPr>
        <w:t>Thus, if a notice of intent contains a</w:t>
      </w:r>
      <w:r w:rsidR="00EF045D">
        <w:rPr>
          <w:szCs w:val="24"/>
        </w:rPr>
        <w:t xml:space="preserve"> </w:t>
      </w:r>
      <w:r>
        <w:rPr>
          <w:szCs w:val="24"/>
        </w:rPr>
        <w:t>mistake</w:t>
      </w:r>
      <w:r w:rsidR="00EF045D">
        <w:rPr>
          <w:szCs w:val="24"/>
        </w:rPr>
        <w:t xml:space="preserve">, such as </w:t>
      </w:r>
      <w:r w:rsidR="00EF33E9">
        <w:rPr>
          <w:szCs w:val="24"/>
        </w:rPr>
        <w:t>a</w:t>
      </w:r>
      <w:r w:rsidR="00EF045D">
        <w:rPr>
          <w:szCs w:val="24"/>
        </w:rPr>
        <w:t xml:space="preserve"> refer</w:t>
      </w:r>
      <w:r w:rsidR="00EF33E9">
        <w:rPr>
          <w:szCs w:val="24"/>
        </w:rPr>
        <w:t>e</w:t>
      </w:r>
      <w:r w:rsidR="00EF045D">
        <w:rPr>
          <w:szCs w:val="24"/>
        </w:rPr>
        <w:t>n</w:t>
      </w:r>
      <w:r w:rsidR="00EF33E9">
        <w:rPr>
          <w:szCs w:val="24"/>
        </w:rPr>
        <w:t>ce</w:t>
      </w:r>
      <w:r w:rsidR="00EF045D">
        <w:rPr>
          <w:szCs w:val="24"/>
        </w:rPr>
        <w:t xml:space="preserve"> to the wrong address for an HMO</w:t>
      </w:r>
      <w:r w:rsidR="00640B98">
        <w:rPr>
          <w:szCs w:val="24"/>
        </w:rPr>
        <w:t xml:space="preserve"> or</w:t>
      </w:r>
      <w:r w:rsidR="00EF045D">
        <w:rPr>
          <w:szCs w:val="24"/>
        </w:rPr>
        <w:t xml:space="preserve"> an incorrect date for an inspection </w:t>
      </w:r>
      <w:r w:rsidR="00640B98">
        <w:rPr>
          <w:szCs w:val="24"/>
        </w:rPr>
        <w:t>at</w:t>
      </w:r>
      <w:r w:rsidR="00EF045D">
        <w:rPr>
          <w:szCs w:val="24"/>
        </w:rPr>
        <w:t xml:space="preserve"> which offences were observed, the mistake</w:t>
      </w:r>
      <w:r w:rsidR="00EF33E9">
        <w:rPr>
          <w:szCs w:val="24"/>
        </w:rPr>
        <w:t xml:space="preserve"> may be sufficient to confuse some recipients but not others.  It</w:t>
      </w:r>
      <w:r w:rsidR="00EF045D">
        <w:rPr>
          <w:szCs w:val="24"/>
        </w:rPr>
        <w:t xml:space="preserve"> may be obvious to a reasonable person who manages only one HMO or who </w:t>
      </w:r>
      <w:proofErr w:type="gramStart"/>
      <w:r w:rsidR="00EF045D">
        <w:rPr>
          <w:szCs w:val="24"/>
        </w:rPr>
        <w:t>was in attendance at</w:t>
      </w:r>
      <w:proofErr w:type="gramEnd"/>
      <w:r w:rsidR="00EF045D">
        <w:rPr>
          <w:szCs w:val="24"/>
        </w:rPr>
        <w:t xml:space="preserve"> the inspection and knows the date it took place</w:t>
      </w:r>
      <w:r w:rsidR="00EF33E9">
        <w:rPr>
          <w:szCs w:val="24"/>
        </w:rPr>
        <w:t xml:space="preserve"> what information the notice is intend</w:t>
      </w:r>
      <w:r w:rsidR="009C1041">
        <w:rPr>
          <w:szCs w:val="24"/>
        </w:rPr>
        <w:t>ed</w:t>
      </w:r>
      <w:r w:rsidR="00EF33E9">
        <w:rPr>
          <w:szCs w:val="24"/>
        </w:rPr>
        <w:t xml:space="preserve"> to convey</w:t>
      </w:r>
      <w:r w:rsidR="00EF045D">
        <w:rPr>
          <w:szCs w:val="24"/>
        </w:rPr>
        <w:t>.</w:t>
      </w:r>
      <w:r w:rsidR="00EF33E9">
        <w:rPr>
          <w:szCs w:val="24"/>
        </w:rPr>
        <w:t xml:space="preserve">  The manager of a large estate of HMOs may not find it so easy to understand what is being alleged against them by </w:t>
      </w:r>
      <w:r w:rsidR="00FD08D2">
        <w:rPr>
          <w:szCs w:val="24"/>
        </w:rPr>
        <w:t>an inaccurate notice of intent.</w:t>
      </w:r>
      <w:r w:rsidR="00EF33E9">
        <w:rPr>
          <w:szCs w:val="24"/>
        </w:rPr>
        <w:t xml:space="preserve"> </w:t>
      </w:r>
      <w:r w:rsidR="00EF045D">
        <w:rPr>
          <w:szCs w:val="24"/>
        </w:rPr>
        <w:t xml:space="preserve">  An obvious mistake which does not mislead the intended recipient </w:t>
      </w:r>
      <w:r w:rsidR="00DC7383">
        <w:rPr>
          <w:szCs w:val="24"/>
        </w:rPr>
        <w:t xml:space="preserve">of a notice which otherwise provides a sufficient statement of the reasons it has been served will not render the notice a nullity.  </w:t>
      </w:r>
    </w:p>
    <w:p w14:paraId="367AC4D9" w14:textId="5E99D70A" w:rsidR="00FD08D2" w:rsidRDefault="00FD08D2" w:rsidP="00B97F9F">
      <w:pPr>
        <w:pStyle w:val="ListParagraph"/>
        <w:numPr>
          <w:ilvl w:val="0"/>
          <w:numId w:val="7"/>
        </w:numPr>
        <w:tabs>
          <w:tab w:val="left" w:pos="0"/>
        </w:tabs>
        <w:spacing w:after="360"/>
        <w:ind w:left="567" w:hanging="567"/>
        <w:contextualSpacing w:val="0"/>
        <w:jc w:val="both"/>
        <w:rPr>
          <w:szCs w:val="24"/>
        </w:rPr>
      </w:pPr>
      <w:r>
        <w:rPr>
          <w:szCs w:val="24"/>
        </w:rPr>
        <w:t>In this case the notices of intent were not inaccurate in the information they conveyed.  They suffered from a different defect, namely that they were vague and did not clearly identify the facts which amounted to the offence being alleged.  Both pinpointed the offence and the location and date at which it was alleged to have been committed, but the only description of the regulation 4 offence was that “numerous fire safety deficiencies were identified at the premises”, while the regulation 7 offence was described only as “poor management and disrepair, and poorly maintained deficiencies”.</w:t>
      </w:r>
    </w:p>
    <w:p w14:paraId="4EDB718D" w14:textId="39574C42" w:rsidR="00FD08D2" w:rsidRDefault="00FD08D2" w:rsidP="00B97F9F">
      <w:pPr>
        <w:pStyle w:val="ListParagraph"/>
        <w:numPr>
          <w:ilvl w:val="0"/>
          <w:numId w:val="7"/>
        </w:numPr>
        <w:tabs>
          <w:tab w:val="left" w:pos="0"/>
        </w:tabs>
        <w:spacing w:after="360"/>
        <w:ind w:left="567" w:hanging="567"/>
        <w:contextualSpacing w:val="0"/>
        <w:jc w:val="both"/>
        <w:rPr>
          <w:szCs w:val="24"/>
        </w:rPr>
      </w:pPr>
      <w:r>
        <w:rPr>
          <w:szCs w:val="24"/>
        </w:rPr>
        <w:t xml:space="preserve">If notices in this form had been the only material available to the recipient, I would have </w:t>
      </w:r>
      <w:r w:rsidR="00567190">
        <w:rPr>
          <w:szCs w:val="24"/>
        </w:rPr>
        <w:t xml:space="preserve">had </w:t>
      </w:r>
      <w:r>
        <w:rPr>
          <w:szCs w:val="24"/>
        </w:rPr>
        <w:t>no doubt that</w:t>
      </w:r>
      <w:r w:rsidR="00567190">
        <w:rPr>
          <w:szCs w:val="24"/>
        </w:rPr>
        <w:t xml:space="preserve"> they were incapable of informing </w:t>
      </w:r>
      <w:r w:rsidR="009C1041">
        <w:rPr>
          <w:szCs w:val="24"/>
        </w:rPr>
        <w:t xml:space="preserve">her </w:t>
      </w:r>
      <w:r w:rsidR="00567190" w:rsidRPr="00567190">
        <w:rPr>
          <w:szCs w:val="24"/>
        </w:rPr>
        <w:t>in</w:t>
      </w:r>
      <w:r w:rsidR="00567190">
        <w:rPr>
          <w:szCs w:val="24"/>
        </w:rPr>
        <w:t xml:space="preserve"> </w:t>
      </w:r>
      <w:r w:rsidR="00567190" w:rsidRPr="00567190">
        <w:rPr>
          <w:szCs w:val="24"/>
        </w:rPr>
        <w:t xml:space="preserve">sufficient </w:t>
      </w:r>
      <w:r w:rsidR="00567190">
        <w:rPr>
          <w:szCs w:val="24"/>
        </w:rPr>
        <w:t>detail of what it was that was being alleged against he</w:t>
      </w:r>
      <w:r w:rsidR="009C1041">
        <w:rPr>
          <w:szCs w:val="24"/>
        </w:rPr>
        <w:t>r</w:t>
      </w:r>
      <w:r w:rsidR="00461E5F">
        <w:rPr>
          <w:szCs w:val="24"/>
        </w:rPr>
        <w:t xml:space="preserve">, and </w:t>
      </w:r>
      <w:r w:rsidR="00567190">
        <w:rPr>
          <w:szCs w:val="24"/>
        </w:rPr>
        <w:t>the requirement</w:t>
      </w:r>
      <w:r w:rsidR="00461E5F">
        <w:rPr>
          <w:szCs w:val="24"/>
        </w:rPr>
        <w:t>s</w:t>
      </w:r>
      <w:r w:rsidR="00567190">
        <w:rPr>
          <w:szCs w:val="24"/>
        </w:rPr>
        <w:t xml:space="preserve"> of </w:t>
      </w:r>
      <w:r w:rsidR="00567190" w:rsidRPr="00567190">
        <w:rPr>
          <w:szCs w:val="24"/>
        </w:rPr>
        <w:t>paragraph 3 of Schedule 13A</w:t>
      </w:r>
      <w:r w:rsidR="00567190">
        <w:rPr>
          <w:szCs w:val="24"/>
        </w:rPr>
        <w:t xml:space="preserve"> that a notice of intent must set out the authority’s reasons for proposing a financial penalty</w:t>
      </w:r>
      <w:r w:rsidR="009C5662">
        <w:rPr>
          <w:szCs w:val="24"/>
        </w:rPr>
        <w:t xml:space="preserve"> would not have been met</w:t>
      </w:r>
      <w:r w:rsidR="00567190">
        <w:rPr>
          <w:szCs w:val="24"/>
        </w:rPr>
        <w:t>.  Regulation 4 covers a range of subjects from ensuring all means of escape are free from obstruction and maintained in good order and repair, maintaining fire alarms and fire fighting equipment, ensuring notices are displayed, taking all measures reasonably required to protect occupiers from injury, preventing access to unsafe roofs or balconies, and barring windows.  A notice alleging “</w:t>
      </w:r>
      <w:r w:rsidR="00567190" w:rsidRPr="00567190">
        <w:rPr>
          <w:szCs w:val="24"/>
        </w:rPr>
        <w:t>numerous fire safety deficiencies</w:t>
      </w:r>
      <w:r w:rsidR="00567190">
        <w:rPr>
          <w:szCs w:val="24"/>
        </w:rPr>
        <w:t>” could cover any or all of those matters</w:t>
      </w:r>
      <w:r w:rsidR="009C5662">
        <w:rPr>
          <w:szCs w:val="24"/>
        </w:rPr>
        <w:t xml:space="preserve"> and, without clarification, the recipient would be left guessing which deficiencies the Council was referring to (although they might appreciate that the complaint was specifically about something to do with fire safety).  </w:t>
      </w:r>
      <w:r w:rsidR="00567190">
        <w:rPr>
          <w:szCs w:val="24"/>
        </w:rPr>
        <w:t xml:space="preserve">Similarly, regulation 7 </w:t>
      </w:r>
      <w:r w:rsidR="009C1041">
        <w:rPr>
          <w:szCs w:val="24"/>
        </w:rPr>
        <w:t>covers</w:t>
      </w:r>
      <w:r w:rsidR="00567190">
        <w:rPr>
          <w:szCs w:val="24"/>
        </w:rPr>
        <w:t xml:space="preserve"> maintaining common parts in repair, </w:t>
      </w:r>
      <w:r w:rsidR="009C1041">
        <w:rPr>
          <w:szCs w:val="24"/>
        </w:rPr>
        <w:t xml:space="preserve">and in </w:t>
      </w:r>
      <w:r w:rsidR="00567190">
        <w:rPr>
          <w:szCs w:val="24"/>
        </w:rPr>
        <w:t>safe working condition and free from obstruction, and extends to a catalogue of specific features including handrails and bannisters, stair coverings, means of ventilation, light fittings, common appliances, outbuildings, yards, gardens</w:t>
      </w:r>
      <w:r w:rsidR="00461E5F">
        <w:rPr>
          <w:szCs w:val="24"/>
        </w:rPr>
        <w:t>, boundary walls and fences.</w:t>
      </w:r>
      <w:r w:rsidR="009C5662">
        <w:rPr>
          <w:szCs w:val="24"/>
        </w:rPr>
        <w:t xml:space="preserve">  To be told that the Council had observed “poor management and disrepair” would leave the recipient in ignorance of the case against them, a state which would not be relieved by trying to work out what “poorly maintained deficiencies” could possibly mean.  </w:t>
      </w:r>
    </w:p>
    <w:p w14:paraId="2135B01F" w14:textId="76320E3E" w:rsidR="009C5662" w:rsidRDefault="009C5662" w:rsidP="00B97F9F">
      <w:pPr>
        <w:pStyle w:val="ListParagraph"/>
        <w:numPr>
          <w:ilvl w:val="0"/>
          <w:numId w:val="7"/>
        </w:numPr>
        <w:tabs>
          <w:tab w:val="left" w:pos="0"/>
        </w:tabs>
        <w:spacing w:after="360"/>
        <w:ind w:left="567" w:hanging="567"/>
        <w:contextualSpacing w:val="0"/>
        <w:jc w:val="both"/>
        <w:rPr>
          <w:szCs w:val="24"/>
        </w:rPr>
      </w:pPr>
      <w:r>
        <w:rPr>
          <w:szCs w:val="24"/>
        </w:rPr>
        <w:lastRenderedPageBreak/>
        <w:t xml:space="preserve">The description of the facts of the alleged offence contained in each of the notices added little if anything to the identification in the notices of intent of the statutory provisions which were alleged to have been breached.  Viewed in isolation, that would not be good enough to enable the recipient to know what they were being accused of, or to enable them to seek advice and make an informed response.  </w:t>
      </w:r>
    </w:p>
    <w:p w14:paraId="651D7F72" w14:textId="4DC015E4" w:rsidR="00ED033D" w:rsidRDefault="009C5662" w:rsidP="00B97F9F">
      <w:pPr>
        <w:pStyle w:val="ListParagraph"/>
        <w:numPr>
          <w:ilvl w:val="0"/>
          <w:numId w:val="7"/>
        </w:numPr>
        <w:tabs>
          <w:tab w:val="left" w:pos="0"/>
        </w:tabs>
        <w:spacing w:after="360"/>
        <w:ind w:left="567" w:hanging="567"/>
        <w:contextualSpacing w:val="0"/>
        <w:jc w:val="both"/>
        <w:rPr>
          <w:szCs w:val="24"/>
        </w:rPr>
      </w:pPr>
      <w:r>
        <w:rPr>
          <w:szCs w:val="24"/>
        </w:rPr>
        <w:t xml:space="preserve">But the </w:t>
      </w:r>
      <w:r w:rsidR="00ED033D">
        <w:rPr>
          <w:szCs w:val="24"/>
        </w:rPr>
        <w:t>notices of intent did not contain the only information available to the respondent.  She had spoken to Ms Cooper on the day of her inspection, 27 October, and had been informed</w:t>
      </w:r>
      <w:r w:rsidR="00640B98">
        <w:rPr>
          <w:szCs w:val="24"/>
        </w:rPr>
        <w:t xml:space="preserve"> </w:t>
      </w:r>
      <w:r w:rsidR="00ED033D">
        <w:rPr>
          <w:szCs w:val="24"/>
        </w:rPr>
        <w:t xml:space="preserve">what Ms Cooper had observed.  She had also been told to replace the missing detector heads within 24 hours, which she appears to have done.  </w:t>
      </w:r>
      <w:r w:rsidR="00FC1C80">
        <w:rPr>
          <w:szCs w:val="24"/>
        </w:rPr>
        <w:t xml:space="preserve">On </w:t>
      </w:r>
      <w:r w:rsidR="00ED033D">
        <w:rPr>
          <w:szCs w:val="24"/>
        </w:rPr>
        <w:t xml:space="preserve">29 October she received Ms Cooper’s letter of that date </w:t>
      </w:r>
      <w:r w:rsidR="00FC1C80">
        <w:rPr>
          <w:szCs w:val="24"/>
        </w:rPr>
        <w:t xml:space="preserve">by email </w:t>
      </w:r>
      <w:r w:rsidR="00ED033D">
        <w:rPr>
          <w:szCs w:val="24"/>
        </w:rPr>
        <w:t>enclosing the schedule of works</w:t>
      </w:r>
      <w:r w:rsidR="00FC1C80">
        <w:rPr>
          <w:szCs w:val="24"/>
        </w:rPr>
        <w:t xml:space="preserve"> and the photographs of each of the defects</w:t>
      </w:r>
      <w:r w:rsidR="00ED033D">
        <w:rPr>
          <w:szCs w:val="24"/>
        </w:rPr>
        <w:t>.  The letter was headed with a reference to the 2004 Act and to the 2006 Regulations and began with a reference to Ms Cooper’s inspection on 27 October and a statement that “at the time of the inspection the property did not meet the standards prescribed by the above legislation”.</w:t>
      </w:r>
    </w:p>
    <w:p w14:paraId="7959648B" w14:textId="2158C179" w:rsidR="009C5662" w:rsidRDefault="00ED033D" w:rsidP="00B97F9F">
      <w:pPr>
        <w:pStyle w:val="ListParagraph"/>
        <w:numPr>
          <w:ilvl w:val="0"/>
          <w:numId w:val="7"/>
        </w:numPr>
        <w:tabs>
          <w:tab w:val="left" w:pos="0"/>
        </w:tabs>
        <w:spacing w:after="360"/>
        <w:ind w:left="567" w:hanging="567"/>
        <w:contextualSpacing w:val="0"/>
        <w:jc w:val="both"/>
        <w:rPr>
          <w:szCs w:val="24"/>
        </w:rPr>
      </w:pPr>
      <w:r>
        <w:rPr>
          <w:szCs w:val="24"/>
        </w:rPr>
        <w:t>The schedule of works served with the letter of 29 October began with a statement that “the deficiencies listed are considered as legal requirements” and required that the</w:t>
      </w:r>
      <w:r w:rsidR="004A073C">
        <w:rPr>
          <w:szCs w:val="24"/>
        </w:rPr>
        <w:t xml:space="preserve"> remedial measures identified should be undertaken within the stipulated time.  The first part of the list was headed “Fire safety” while the second was titled “Regulation 7 maintain common parts”.  Each defect was then clearly identified and remedial action specified.</w:t>
      </w:r>
    </w:p>
    <w:p w14:paraId="650307E6" w14:textId="43B9603A" w:rsidR="004A073C" w:rsidRPr="004A073C" w:rsidRDefault="004A073C" w:rsidP="0006699E">
      <w:pPr>
        <w:pStyle w:val="ListParagraph"/>
        <w:numPr>
          <w:ilvl w:val="0"/>
          <w:numId w:val="7"/>
        </w:numPr>
        <w:tabs>
          <w:tab w:val="left" w:pos="0"/>
        </w:tabs>
        <w:spacing w:after="360"/>
        <w:ind w:left="567" w:hanging="567"/>
        <w:contextualSpacing w:val="0"/>
        <w:jc w:val="both"/>
        <w:rPr>
          <w:szCs w:val="24"/>
        </w:rPr>
      </w:pPr>
      <w:r w:rsidRPr="004A073C">
        <w:rPr>
          <w:szCs w:val="24"/>
        </w:rPr>
        <w:t>The FTT had no complaint about the information supplied in the schedule of works and it considered that the notices of intent might have been valid if the schedule had been referred to in them (“had it been attached or referred to as the detailed allegations made therein, the matter could have been different”).  I agree that that would have been a compliant approach.  But I do not agree that the notices were rendered defective because they did not repeat or refer to the detailed information supplied on 29 October</w:t>
      </w:r>
      <w:r>
        <w:rPr>
          <w:szCs w:val="24"/>
        </w:rPr>
        <w:t>.  While it is true that almost four months elapsed between the schedule of condition and the notices of intent, it can hardly be suggested that the respondent would have forgotten about the schedule.  She took prompt steps to carry out the scheduled work</w:t>
      </w:r>
      <w:r w:rsidRPr="004A073C">
        <w:rPr>
          <w:szCs w:val="24"/>
        </w:rPr>
        <w:t xml:space="preserve"> </w:t>
      </w:r>
      <w:r>
        <w:rPr>
          <w:szCs w:val="24"/>
        </w:rPr>
        <w:t xml:space="preserve">and </w:t>
      </w:r>
      <w:r w:rsidR="00FC1C80">
        <w:rPr>
          <w:szCs w:val="24"/>
        </w:rPr>
        <w:t xml:space="preserve">completed it by the end of the year.  She knew that the Council wished to interview her under caution about the condition of the property.  When she received the notices of </w:t>
      </w:r>
      <w:r w:rsidR="009C1041">
        <w:rPr>
          <w:szCs w:val="24"/>
        </w:rPr>
        <w:t>intent,</w:t>
      </w:r>
      <w:r w:rsidR="00FC1C80">
        <w:rPr>
          <w:szCs w:val="24"/>
        </w:rPr>
        <w:t xml:space="preserve"> she was informed that the offences were said to have been committed on 27 October.  </w:t>
      </w:r>
    </w:p>
    <w:p w14:paraId="45C503F8" w14:textId="1D47B4D8" w:rsidR="00FC1C80" w:rsidRDefault="00FC1C80" w:rsidP="00B97F9F">
      <w:pPr>
        <w:pStyle w:val="ListParagraph"/>
        <w:numPr>
          <w:ilvl w:val="0"/>
          <w:numId w:val="7"/>
        </w:numPr>
        <w:tabs>
          <w:tab w:val="left" w:pos="0"/>
        </w:tabs>
        <w:spacing w:after="360"/>
        <w:ind w:left="567" w:hanging="567"/>
        <w:contextualSpacing w:val="0"/>
        <w:jc w:val="both"/>
        <w:rPr>
          <w:szCs w:val="24"/>
        </w:rPr>
      </w:pPr>
      <w:r>
        <w:rPr>
          <w:szCs w:val="24"/>
        </w:rPr>
        <w:t xml:space="preserve">Any reasonable person with the knowledge available to the respondent would, in my judgment, have been in no doubt that the fire safety deficiencies observed by the Council’s officer on 27 October and referred to in the regulation 4 notice were the same deficiencies as had been listed in the first part of </w:t>
      </w:r>
      <w:r w:rsidR="009C1041">
        <w:rPr>
          <w:szCs w:val="24"/>
        </w:rPr>
        <w:t xml:space="preserve">the </w:t>
      </w:r>
      <w:r>
        <w:rPr>
          <w:szCs w:val="24"/>
        </w:rPr>
        <w:t xml:space="preserve">schedule of works of 29 October.  Similarly any reasonable person would have understood that the issues concerning poor management and disrepair referred to in the regulation 7 notice were those identified in the second part of the schedule of works.  </w:t>
      </w:r>
    </w:p>
    <w:p w14:paraId="37472630" w14:textId="00E61DED" w:rsidR="009023E5" w:rsidRDefault="00FC1C80" w:rsidP="00B97F9F">
      <w:pPr>
        <w:pStyle w:val="ListParagraph"/>
        <w:numPr>
          <w:ilvl w:val="0"/>
          <w:numId w:val="7"/>
        </w:numPr>
        <w:tabs>
          <w:tab w:val="left" w:pos="0"/>
        </w:tabs>
        <w:spacing w:after="360"/>
        <w:ind w:left="567" w:hanging="567"/>
        <w:contextualSpacing w:val="0"/>
        <w:jc w:val="both"/>
        <w:rPr>
          <w:szCs w:val="24"/>
        </w:rPr>
      </w:pPr>
      <w:r>
        <w:rPr>
          <w:szCs w:val="24"/>
        </w:rPr>
        <w:t xml:space="preserve">Nor is there any evidence that the respondent did not understand that that was what the notices of intent were referring to.  </w:t>
      </w:r>
      <w:r w:rsidR="009023E5">
        <w:rPr>
          <w:szCs w:val="24"/>
        </w:rPr>
        <w:t>I</w:t>
      </w:r>
      <w:r>
        <w:rPr>
          <w:szCs w:val="24"/>
        </w:rPr>
        <w:t xml:space="preserve"> a</w:t>
      </w:r>
      <w:r w:rsidR="009023E5">
        <w:rPr>
          <w:szCs w:val="24"/>
        </w:rPr>
        <w:t xml:space="preserve">m left in no doubt that she would have been in a position to identify the defects and, had she wished to do so, to respond effectively to them </w:t>
      </w:r>
      <w:r>
        <w:rPr>
          <w:szCs w:val="24"/>
        </w:rPr>
        <w:t xml:space="preserve">on the </w:t>
      </w:r>
      <w:r w:rsidR="009023E5">
        <w:rPr>
          <w:szCs w:val="24"/>
        </w:rPr>
        <w:t>basis of the information in the notices of intent and the material sent to her on 29 October.</w:t>
      </w:r>
      <w:r w:rsidR="0013136F" w:rsidRPr="0013136F">
        <w:rPr>
          <w:szCs w:val="24"/>
        </w:rPr>
        <w:t xml:space="preserve"> In her expanded grounds of appeal addressed to the FTT she </w:t>
      </w:r>
      <w:r w:rsidR="0013136F">
        <w:rPr>
          <w:szCs w:val="24"/>
        </w:rPr>
        <w:t xml:space="preserve">later </w:t>
      </w:r>
      <w:r w:rsidR="0013136F" w:rsidRPr="0013136F">
        <w:rPr>
          <w:szCs w:val="24"/>
        </w:rPr>
        <w:t xml:space="preserve">admitted that “deficiencies were found at the property”.  By that time, of course, she had received the final </w:t>
      </w:r>
      <w:r w:rsidR="0013136F" w:rsidRPr="0013136F">
        <w:rPr>
          <w:szCs w:val="24"/>
        </w:rPr>
        <w:lastRenderedPageBreak/>
        <w:t>notices which contained much more detail, but</w:t>
      </w:r>
      <w:r w:rsidR="0013136F">
        <w:rPr>
          <w:szCs w:val="24"/>
        </w:rPr>
        <w:t xml:space="preserve"> that detail was the same detail as had been provided in the schedule of work.</w:t>
      </w:r>
    </w:p>
    <w:p w14:paraId="3F25A6FA" w14:textId="0D3FE77D" w:rsidR="009023E5" w:rsidRDefault="009023E5" w:rsidP="009023E5">
      <w:pPr>
        <w:pStyle w:val="ListParagraph"/>
        <w:numPr>
          <w:ilvl w:val="0"/>
          <w:numId w:val="7"/>
        </w:numPr>
        <w:tabs>
          <w:tab w:val="left" w:pos="0"/>
        </w:tabs>
        <w:spacing w:after="360"/>
        <w:ind w:left="567" w:hanging="567"/>
        <w:contextualSpacing w:val="0"/>
        <w:jc w:val="both"/>
        <w:rPr>
          <w:szCs w:val="24"/>
        </w:rPr>
      </w:pPr>
      <w:r>
        <w:rPr>
          <w:szCs w:val="24"/>
        </w:rPr>
        <w:t>In my judgment, therefore, the notices of intent were not invalid and complied with the requirement that they set out the Council’s reasons for proposing the financial penalties</w:t>
      </w:r>
      <w:r w:rsidRPr="009023E5">
        <w:rPr>
          <w:szCs w:val="24"/>
        </w:rPr>
        <w:t>.  They depended for their validity on the detailed information contained in the schedule of work and the selection of photographs served earlier but, in the circumstances of this case, I do not consider that the lapse of time made any difference</w:t>
      </w:r>
      <w:r w:rsidR="0013136F">
        <w:rPr>
          <w:szCs w:val="24"/>
        </w:rPr>
        <w:t xml:space="preserve"> or that the notices lacked clarity by reason of it</w:t>
      </w:r>
      <w:r w:rsidRPr="009023E5">
        <w:rPr>
          <w:szCs w:val="24"/>
        </w:rPr>
        <w:t>.</w:t>
      </w:r>
    </w:p>
    <w:p w14:paraId="2AF33A03" w14:textId="6299A707" w:rsidR="009023E5" w:rsidRPr="009023E5" w:rsidRDefault="009023E5" w:rsidP="009023E5">
      <w:pPr>
        <w:pStyle w:val="ListParagraph"/>
        <w:numPr>
          <w:ilvl w:val="0"/>
          <w:numId w:val="7"/>
        </w:numPr>
        <w:tabs>
          <w:tab w:val="left" w:pos="0"/>
        </w:tabs>
        <w:spacing w:after="360"/>
        <w:ind w:left="567" w:hanging="567"/>
        <w:contextualSpacing w:val="0"/>
        <w:jc w:val="both"/>
        <w:rPr>
          <w:szCs w:val="24"/>
        </w:rPr>
      </w:pPr>
      <w:r>
        <w:rPr>
          <w:szCs w:val="24"/>
        </w:rPr>
        <w:t xml:space="preserve">The FTT </w:t>
      </w:r>
      <w:r w:rsidR="0013136F">
        <w:rPr>
          <w:szCs w:val="24"/>
        </w:rPr>
        <w:t xml:space="preserve">considered that the Council should have explained why it had decided to propose a financial penalty rather than a different course of action, such as a prosecution or an informal disposal.  I do not think it is necessary to provide that information, although it might be sensible to do so if there is some particular reason which influenced the Council’s thinking and on which it would wish a tribunal considering an appeal to place particular weight.     </w:t>
      </w:r>
    </w:p>
    <w:p w14:paraId="1AFE9F43" w14:textId="556A191F" w:rsidR="004A073C" w:rsidRPr="0013136F" w:rsidRDefault="009023E5" w:rsidP="0013136F">
      <w:pPr>
        <w:tabs>
          <w:tab w:val="left" w:pos="0"/>
        </w:tabs>
        <w:spacing w:after="360"/>
        <w:jc w:val="both"/>
        <w:rPr>
          <w:b/>
          <w:bCs/>
          <w:szCs w:val="24"/>
        </w:rPr>
      </w:pPr>
      <w:r w:rsidRPr="0013136F">
        <w:rPr>
          <w:b/>
          <w:bCs/>
          <w:szCs w:val="24"/>
        </w:rPr>
        <w:t xml:space="preserve">Ground 2: </w:t>
      </w:r>
      <w:r w:rsidR="0013136F" w:rsidRPr="0013136F">
        <w:rPr>
          <w:b/>
          <w:bCs/>
          <w:szCs w:val="24"/>
        </w:rPr>
        <w:t xml:space="preserve">whether the effect of providing an insufficiently precise statement of reasons in a notice of intent is that the notice of intent and the subsequent final penalty notice are </w:t>
      </w:r>
      <w:proofErr w:type="gramStart"/>
      <w:r w:rsidR="0013136F" w:rsidRPr="0013136F">
        <w:rPr>
          <w:b/>
          <w:bCs/>
          <w:szCs w:val="24"/>
        </w:rPr>
        <w:t>void</w:t>
      </w:r>
      <w:proofErr w:type="gramEnd"/>
      <w:r w:rsidRPr="0013136F">
        <w:rPr>
          <w:b/>
          <w:bCs/>
          <w:szCs w:val="24"/>
        </w:rPr>
        <w:t xml:space="preserve"> </w:t>
      </w:r>
      <w:r w:rsidR="00FC1C80" w:rsidRPr="0013136F">
        <w:rPr>
          <w:b/>
          <w:bCs/>
          <w:szCs w:val="24"/>
        </w:rPr>
        <w:t xml:space="preserve"> </w:t>
      </w:r>
    </w:p>
    <w:p w14:paraId="40D0154F" w14:textId="77777777" w:rsidR="0013136F" w:rsidRDefault="0013136F" w:rsidP="00B97F9F">
      <w:pPr>
        <w:pStyle w:val="ListParagraph"/>
        <w:numPr>
          <w:ilvl w:val="0"/>
          <w:numId w:val="7"/>
        </w:numPr>
        <w:tabs>
          <w:tab w:val="left" w:pos="0"/>
        </w:tabs>
        <w:spacing w:after="360"/>
        <w:ind w:left="567" w:hanging="567"/>
        <w:contextualSpacing w:val="0"/>
        <w:jc w:val="both"/>
        <w:rPr>
          <w:szCs w:val="24"/>
        </w:rPr>
      </w:pPr>
      <w:r>
        <w:rPr>
          <w:szCs w:val="24"/>
        </w:rPr>
        <w:t xml:space="preserve">As I have found that the notices of intent were not insufficiently precise, in view of the previous communications between the parties, the second ground of appeal does not arise.  </w:t>
      </w:r>
    </w:p>
    <w:p w14:paraId="72D96959" w14:textId="5EEEF3B6" w:rsidR="00E43B80" w:rsidRDefault="0013136F" w:rsidP="00B97F9F">
      <w:pPr>
        <w:pStyle w:val="ListParagraph"/>
        <w:numPr>
          <w:ilvl w:val="0"/>
          <w:numId w:val="7"/>
        </w:numPr>
        <w:tabs>
          <w:tab w:val="left" w:pos="0"/>
        </w:tabs>
        <w:spacing w:after="360"/>
        <w:ind w:left="567" w:hanging="567"/>
        <w:contextualSpacing w:val="0"/>
        <w:jc w:val="both"/>
        <w:rPr>
          <w:szCs w:val="24"/>
        </w:rPr>
      </w:pPr>
      <w:r>
        <w:rPr>
          <w:szCs w:val="24"/>
        </w:rPr>
        <w:t xml:space="preserve">The answer to the question of principle is supplied by </w:t>
      </w:r>
      <w:r>
        <w:rPr>
          <w:i/>
          <w:iCs/>
          <w:szCs w:val="24"/>
        </w:rPr>
        <w:t>Younis</w:t>
      </w:r>
      <w:r>
        <w:rPr>
          <w:szCs w:val="24"/>
        </w:rPr>
        <w:t>.  A notice of intent is not necessarily void</w:t>
      </w:r>
      <w:r w:rsidR="00E43B80">
        <w:rPr>
          <w:szCs w:val="24"/>
        </w:rPr>
        <w:t xml:space="preserve"> if it provides an insufficiently clear or precise statement of the reasons for proposing the financial penalty.  If the only information supplied by the Council had been the statements in the notices themselves, and if the schedule of work and photographs of the defects had not been provided, it is likely that I would have concluded that the notices were of no effect and that the penalties should be discharged because it would not have been possible for the respondent to mount an informed defence before the Council took its decision to confirm the penalties by serving final notices.  In the event, the respondent had the information she required but chose not to make representations.</w:t>
      </w:r>
    </w:p>
    <w:p w14:paraId="154B007E" w14:textId="77777777" w:rsidR="002469A1" w:rsidRDefault="00E43B80" w:rsidP="002469A1">
      <w:pPr>
        <w:pStyle w:val="ListParagraph"/>
        <w:numPr>
          <w:ilvl w:val="0"/>
          <w:numId w:val="7"/>
        </w:numPr>
        <w:tabs>
          <w:tab w:val="left" w:pos="0"/>
        </w:tabs>
        <w:spacing w:after="360"/>
        <w:ind w:left="567" w:hanging="567"/>
        <w:contextualSpacing w:val="0"/>
        <w:jc w:val="both"/>
        <w:rPr>
          <w:szCs w:val="24"/>
        </w:rPr>
      </w:pPr>
      <w:r>
        <w:rPr>
          <w:szCs w:val="24"/>
        </w:rPr>
        <w:t xml:space="preserve">I leave one point open.  That is whether the </w:t>
      </w:r>
      <w:r w:rsidR="002469A1">
        <w:rPr>
          <w:szCs w:val="24"/>
        </w:rPr>
        <w:t xml:space="preserve">effect </w:t>
      </w:r>
      <w:r>
        <w:rPr>
          <w:szCs w:val="24"/>
        </w:rPr>
        <w:t xml:space="preserve">of </w:t>
      </w:r>
      <w:r w:rsidR="002469A1">
        <w:rPr>
          <w:szCs w:val="24"/>
        </w:rPr>
        <w:t>a</w:t>
      </w:r>
      <w:r>
        <w:rPr>
          <w:szCs w:val="24"/>
        </w:rPr>
        <w:t xml:space="preserve"> notice of intent must be determined on the basis of the material available to the recipient before the time for making representations against it expires, or whether an invalid notice can be cured by information supplied with a final notice, or in the context of an appeal to the FTT.  The hearing of an appeal by the FTT takes the form of a rehearing, so it might be said that information supplied at that stage puts the recipient in a position to mount an effective defence. </w:t>
      </w:r>
      <w:r w:rsidR="002469A1">
        <w:t xml:space="preserve">On the other hand, it might be argued that there is prejudice to the recipient of a defective notice, sufficient to justify treating a defective notice as a nullity, if they have to persuade the FTT to take a different view from that taken by the authority.  I prefer to say nothing about that point and to leave it for decision on another occasion if it arises.  </w:t>
      </w:r>
      <w:r>
        <w:rPr>
          <w:szCs w:val="24"/>
        </w:rPr>
        <w:t xml:space="preserve">     </w:t>
      </w:r>
    </w:p>
    <w:p w14:paraId="7DD6FACC" w14:textId="77777777" w:rsidR="002469A1" w:rsidRPr="002469A1" w:rsidRDefault="002469A1" w:rsidP="002469A1">
      <w:pPr>
        <w:tabs>
          <w:tab w:val="left" w:pos="0"/>
        </w:tabs>
        <w:spacing w:after="360"/>
        <w:jc w:val="both"/>
        <w:rPr>
          <w:szCs w:val="24"/>
        </w:rPr>
      </w:pPr>
      <w:r w:rsidRPr="002469A1">
        <w:rPr>
          <w:b/>
          <w:bCs/>
          <w:szCs w:val="24"/>
        </w:rPr>
        <w:t>Disposal</w:t>
      </w:r>
    </w:p>
    <w:p w14:paraId="61BEA217" w14:textId="2F724DCF" w:rsidR="002469A1" w:rsidRDefault="002469A1" w:rsidP="002469A1">
      <w:pPr>
        <w:pStyle w:val="ListParagraph"/>
        <w:numPr>
          <w:ilvl w:val="0"/>
          <w:numId w:val="7"/>
        </w:numPr>
        <w:tabs>
          <w:tab w:val="left" w:pos="0"/>
        </w:tabs>
        <w:spacing w:after="360"/>
        <w:ind w:left="567" w:hanging="567"/>
        <w:contextualSpacing w:val="0"/>
        <w:jc w:val="both"/>
        <w:rPr>
          <w:szCs w:val="24"/>
        </w:rPr>
      </w:pPr>
      <w:r>
        <w:rPr>
          <w:szCs w:val="24"/>
        </w:rPr>
        <w:t xml:space="preserve">For the reasons given above in relation to ground 1, </w:t>
      </w:r>
      <w:r w:rsidRPr="002469A1">
        <w:rPr>
          <w:szCs w:val="24"/>
        </w:rPr>
        <w:t>I allow the appeal.</w:t>
      </w:r>
    </w:p>
    <w:p w14:paraId="4F1FDBB6" w14:textId="5AA8F81E" w:rsidR="002469A1" w:rsidRDefault="002469A1" w:rsidP="002469A1">
      <w:pPr>
        <w:pStyle w:val="ListParagraph"/>
        <w:numPr>
          <w:ilvl w:val="0"/>
          <w:numId w:val="7"/>
        </w:numPr>
        <w:tabs>
          <w:tab w:val="left" w:pos="0"/>
        </w:tabs>
        <w:spacing w:after="360"/>
        <w:ind w:left="567" w:hanging="567"/>
        <w:contextualSpacing w:val="0"/>
        <w:jc w:val="both"/>
        <w:rPr>
          <w:szCs w:val="24"/>
        </w:rPr>
      </w:pPr>
      <w:r>
        <w:rPr>
          <w:szCs w:val="24"/>
        </w:rPr>
        <w:lastRenderedPageBreak/>
        <w:t xml:space="preserve">It was suggested by Ms O’Leary that the matter should </w:t>
      </w:r>
      <w:r w:rsidR="007F64F6">
        <w:rPr>
          <w:szCs w:val="24"/>
        </w:rPr>
        <w:t xml:space="preserve">now </w:t>
      </w:r>
      <w:r>
        <w:rPr>
          <w:szCs w:val="24"/>
        </w:rPr>
        <w:t>be remitted to the FTT for it to determine the respondent’s original appeal against the penalties imposed on her for breaches of regulations 4 and 7.</w:t>
      </w:r>
    </w:p>
    <w:p w14:paraId="3624CA4E" w14:textId="4EE26C87" w:rsidR="002469A1" w:rsidRPr="002469A1" w:rsidRDefault="002469A1" w:rsidP="002469A1">
      <w:pPr>
        <w:pStyle w:val="ListParagraph"/>
        <w:numPr>
          <w:ilvl w:val="0"/>
          <w:numId w:val="7"/>
        </w:numPr>
        <w:tabs>
          <w:tab w:val="left" w:pos="0"/>
        </w:tabs>
        <w:spacing w:after="360"/>
        <w:ind w:left="567" w:hanging="567"/>
        <w:contextualSpacing w:val="0"/>
        <w:jc w:val="both"/>
        <w:rPr>
          <w:szCs w:val="24"/>
        </w:rPr>
      </w:pPr>
      <w:r>
        <w:rPr>
          <w:szCs w:val="24"/>
        </w:rPr>
        <w:t xml:space="preserve">It would not be fair to the respondent to determine </w:t>
      </w:r>
      <w:r w:rsidR="007F64F6">
        <w:rPr>
          <w:szCs w:val="24"/>
        </w:rPr>
        <w:t xml:space="preserve">her appeal against the outstanding </w:t>
      </w:r>
      <w:r>
        <w:rPr>
          <w:szCs w:val="24"/>
        </w:rPr>
        <w:t>penalt</w:t>
      </w:r>
      <w:r w:rsidR="007F64F6">
        <w:rPr>
          <w:szCs w:val="24"/>
        </w:rPr>
        <w:t>ies</w:t>
      </w:r>
      <w:r>
        <w:rPr>
          <w:szCs w:val="24"/>
        </w:rPr>
        <w:t xml:space="preserve"> without allowing her to </w:t>
      </w:r>
      <w:r w:rsidR="00786BB6">
        <w:rPr>
          <w:szCs w:val="24"/>
        </w:rPr>
        <w:t>give evidence about the management of the property and in support of her case that Covid 19 restrictions and the more intensive use of the property by her tenants provide</w:t>
      </w:r>
      <w:r w:rsidR="007F64F6">
        <w:rPr>
          <w:szCs w:val="24"/>
        </w:rPr>
        <w:t>s</w:t>
      </w:r>
      <w:r w:rsidR="00786BB6">
        <w:rPr>
          <w:szCs w:val="24"/>
        </w:rPr>
        <w:t xml:space="preserve"> either a reasonable excuse for some of the defects or at least material which should be considered in mitigation of the penalty.  I therefore agree with Ms O’Leary that the appeal against the two final notices should be remitted to a differently constituted panel of the FTT for determination.  </w:t>
      </w:r>
    </w:p>
    <w:p w14:paraId="6E102A12" w14:textId="6B80D102" w:rsidR="00396202" w:rsidRDefault="00786BB6" w:rsidP="00396202">
      <w:pPr>
        <w:pStyle w:val="ListParagraph"/>
        <w:numPr>
          <w:ilvl w:val="0"/>
          <w:numId w:val="7"/>
        </w:numPr>
        <w:tabs>
          <w:tab w:val="left" w:pos="0"/>
        </w:tabs>
        <w:spacing w:after="360"/>
        <w:ind w:left="567" w:hanging="567"/>
        <w:contextualSpacing w:val="0"/>
        <w:jc w:val="both"/>
        <w:rPr>
          <w:szCs w:val="24"/>
        </w:rPr>
      </w:pPr>
      <w:r>
        <w:rPr>
          <w:szCs w:val="24"/>
        </w:rPr>
        <w:t>When it considers the appeal against the final notice relating to fire safety deficiencies, the FTT should have regard to the matters identified in paragraph 1</w:t>
      </w:r>
      <w:r w:rsidR="00396202">
        <w:rPr>
          <w:szCs w:val="24"/>
        </w:rPr>
        <w:t>(a), (b) and (d|)</w:t>
      </w:r>
      <w:r>
        <w:rPr>
          <w:szCs w:val="24"/>
        </w:rPr>
        <w:t xml:space="preserve"> of the schedule of works as particulars of the alleged offence.  </w:t>
      </w:r>
      <w:r w:rsidR="00396202">
        <w:rPr>
          <w:szCs w:val="24"/>
        </w:rPr>
        <w:t xml:space="preserve">In her evidence (at paragraph 38) Ms Cooper states that the Council did not have regard to the wedged open kitchen door (item 1(c)) when it decided to impose the penalty.  </w:t>
      </w:r>
      <w:r>
        <w:rPr>
          <w:szCs w:val="24"/>
        </w:rPr>
        <w:t>The</w:t>
      </w:r>
      <w:r w:rsidR="00396202">
        <w:rPr>
          <w:szCs w:val="24"/>
        </w:rPr>
        <w:t xml:space="preserve"> FTT</w:t>
      </w:r>
      <w:r>
        <w:rPr>
          <w:szCs w:val="24"/>
        </w:rPr>
        <w:t xml:space="preserve"> should </w:t>
      </w:r>
      <w:r w:rsidR="00396202">
        <w:rPr>
          <w:szCs w:val="24"/>
        </w:rPr>
        <w:t xml:space="preserve">also </w:t>
      </w:r>
      <w:r>
        <w:rPr>
          <w:szCs w:val="24"/>
        </w:rPr>
        <w:t>not</w:t>
      </w:r>
      <w:r w:rsidR="0012338C">
        <w:rPr>
          <w:szCs w:val="24"/>
        </w:rPr>
        <w:t>e</w:t>
      </w:r>
      <w:r>
        <w:rPr>
          <w:szCs w:val="24"/>
        </w:rPr>
        <w:t xml:space="preserve"> that the</w:t>
      </w:r>
      <w:r w:rsidR="00396202">
        <w:rPr>
          <w:szCs w:val="24"/>
        </w:rPr>
        <w:t xml:space="preserve"> </w:t>
      </w:r>
      <w:r>
        <w:rPr>
          <w:szCs w:val="24"/>
        </w:rPr>
        <w:t xml:space="preserve">allegation </w:t>
      </w:r>
      <w:r w:rsidR="00396202">
        <w:rPr>
          <w:szCs w:val="24"/>
        </w:rPr>
        <w:t xml:space="preserve">in paragraph 1(a) </w:t>
      </w:r>
      <w:r>
        <w:rPr>
          <w:szCs w:val="24"/>
        </w:rPr>
        <w:t>is confined to the intermittent bleeping</w:t>
      </w:r>
      <w:r w:rsidR="0012338C">
        <w:rPr>
          <w:szCs w:val="24"/>
        </w:rPr>
        <w:t xml:space="preserve"> from the fire detection installation</w:t>
      </w:r>
      <w:r>
        <w:rPr>
          <w:szCs w:val="24"/>
        </w:rPr>
        <w:t xml:space="preserve"> (which, in her evidence, Ms Cooper attributed to the backup batteries in a mains powered fire detection system having run out).  The schedule of work does not refer to the disabled detector heads</w:t>
      </w:r>
      <w:r w:rsidR="00345FAB">
        <w:rPr>
          <w:szCs w:val="24"/>
        </w:rPr>
        <w:t xml:space="preserve"> which were discussed by Ms Cooper with the respondent on the telephone and then remedied</w:t>
      </w:r>
      <w:r w:rsidR="0012338C">
        <w:rPr>
          <w:szCs w:val="24"/>
        </w:rPr>
        <w:t>, and I do not consider that they can properly be regarded as falling within the scope of the allegation on which any penalty can be based.</w:t>
      </w:r>
      <w:r>
        <w:rPr>
          <w:szCs w:val="24"/>
        </w:rPr>
        <w:t xml:space="preserve"> </w:t>
      </w:r>
      <w:r w:rsidR="0012338C">
        <w:rPr>
          <w:szCs w:val="24"/>
        </w:rPr>
        <w:t xml:space="preserve"> Similarly, the FTT should consider whether the fire escape route from the room whose door was blocked by a sofa can reasonably be said to have been through the blocked door, rather than through the </w:t>
      </w:r>
      <w:r w:rsidR="00345FAB">
        <w:rPr>
          <w:szCs w:val="24"/>
        </w:rPr>
        <w:t>room’s second</w:t>
      </w:r>
      <w:r w:rsidR="0012338C">
        <w:rPr>
          <w:szCs w:val="24"/>
        </w:rPr>
        <w:t xml:space="preserve"> door which led to the garden</w:t>
      </w:r>
      <w:r w:rsidR="00396202">
        <w:rPr>
          <w:szCs w:val="24"/>
        </w:rPr>
        <w:t>.</w:t>
      </w:r>
    </w:p>
    <w:p w14:paraId="02B40A2C" w14:textId="7D2AE275" w:rsidR="00F57418" w:rsidRDefault="0012338C" w:rsidP="00396202">
      <w:pPr>
        <w:pStyle w:val="ListParagraph"/>
        <w:numPr>
          <w:ilvl w:val="0"/>
          <w:numId w:val="7"/>
        </w:numPr>
        <w:tabs>
          <w:tab w:val="left" w:pos="0"/>
        </w:tabs>
        <w:spacing w:after="360"/>
        <w:ind w:left="567" w:hanging="567"/>
        <w:contextualSpacing w:val="0"/>
        <w:jc w:val="both"/>
        <w:rPr>
          <w:szCs w:val="24"/>
        </w:rPr>
      </w:pPr>
      <w:r w:rsidRPr="00396202">
        <w:rPr>
          <w:szCs w:val="24"/>
        </w:rPr>
        <w:t>When it considers the allegation</w:t>
      </w:r>
      <w:r w:rsidR="00396202" w:rsidRPr="00396202">
        <w:rPr>
          <w:szCs w:val="24"/>
        </w:rPr>
        <w:t>s</w:t>
      </w:r>
      <w:r w:rsidRPr="00396202">
        <w:rPr>
          <w:szCs w:val="24"/>
        </w:rPr>
        <w:t xml:space="preserve"> which relate to the regulation 7 final notice, the FTT should treat the matters identified in paragraph 2</w:t>
      </w:r>
      <w:r w:rsidR="00396202" w:rsidRPr="00396202">
        <w:rPr>
          <w:szCs w:val="24"/>
        </w:rPr>
        <w:t>(b) and (d)</w:t>
      </w:r>
      <w:r w:rsidRPr="00396202">
        <w:rPr>
          <w:szCs w:val="24"/>
        </w:rPr>
        <w:t xml:space="preserve"> of the schedule of works as the relevant particulars of the offence.  In her evidence Ms Cooper </w:t>
      </w:r>
      <w:r w:rsidR="00396202" w:rsidRPr="00396202">
        <w:rPr>
          <w:szCs w:val="24"/>
        </w:rPr>
        <w:t xml:space="preserve">states that the items in paragraph 2(a) and (c) were not relied on when the penalties were assessed.  Ms Cooper </w:t>
      </w:r>
      <w:r w:rsidRPr="00396202">
        <w:rPr>
          <w:szCs w:val="24"/>
        </w:rPr>
        <w:t>relie</w:t>
      </w:r>
      <w:r w:rsidR="00396202" w:rsidRPr="00396202">
        <w:rPr>
          <w:szCs w:val="24"/>
        </w:rPr>
        <w:t>d</w:t>
      </w:r>
      <w:r w:rsidRPr="00396202">
        <w:rPr>
          <w:szCs w:val="24"/>
        </w:rPr>
        <w:t xml:space="preserve"> additionally on a failure to provide test certificates in a timely manner as an offence.  That allegation should be disregarded as regulations 4 and 7 do not require a manager to produce test certificates</w:t>
      </w:r>
      <w:r w:rsidR="00396202" w:rsidRPr="00396202">
        <w:rPr>
          <w:szCs w:val="24"/>
        </w:rPr>
        <w:t>.</w:t>
      </w:r>
      <w:r w:rsidRPr="00396202">
        <w:rPr>
          <w:szCs w:val="24"/>
        </w:rPr>
        <w:t xml:space="preserve"> </w:t>
      </w:r>
      <w:r w:rsidR="00396202" w:rsidRPr="00396202">
        <w:rPr>
          <w:szCs w:val="24"/>
        </w:rPr>
        <w:t xml:space="preserve"> </w:t>
      </w:r>
    </w:p>
    <w:p w14:paraId="713E8E53" w14:textId="13624E1C" w:rsidR="00396202" w:rsidRPr="00396202" w:rsidRDefault="00396202" w:rsidP="00396202">
      <w:pPr>
        <w:pStyle w:val="ListParagraph"/>
        <w:numPr>
          <w:ilvl w:val="0"/>
          <w:numId w:val="7"/>
        </w:numPr>
        <w:tabs>
          <w:tab w:val="left" w:pos="0"/>
        </w:tabs>
        <w:spacing w:after="360"/>
        <w:ind w:left="567" w:hanging="567"/>
        <w:contextualSpacing w:val="0"/>
        <w:jc w:val="both"/>
        <w:rPr>
          <w:szCs w:val="24"/>
        </w:rPr>
      </w:pPr>
      <w:r>
        <w:rPr>
          <w:szCs w:val="24"/>
        </w:rPr>
        <w:t>On that basis I remit the appeals to the FTT for determination by a differently constituted panel.</w:t>
      </w:r>
    </w:p>
    <w:p w14:paraId="57C0685D" w14:textId="77777777" w:rsidR="007F64F6" w:rsidRDefault="007F64F6" w:rsidP="00396202">
      <w:pPr>
        <w:pStyle w:val="ListParagraph"/>
        <w:spacing w:after="120"/>
        <w:ind w:left="6480"/>
        <w:contextualSpacing w:val="0"/>
        <w:rPr>
          <w:szCs w:val="24"/>
        </w:rPr>
      </w:pPr>
    </w:p>
    <w:p w14:paraId="59D25060" w14:textId="77777777" w:rsidR="00345FAB" w:rsidRDefault="00345FAB" w:rsidP="00396202">
      <w:pPr>
        <w:pStyle w:val="ListParagraph"/>
        <w:spacing w:after="120"/>
        <w:ind w:left="6480"/>
        <w:contextualSpacing w:val="0"/>
        <w:rPr>
          <w:szCs w:val="24"/>
        </w:rPr>
      </w:pPr>
    </w:p>
    <w:p w14:paraId="6FF1052F" w14:textId="47DF3A74" w:rsidR="00B13083" w:rsidRDefault="005A4237" w:rsidP="00396202">
      <w:pPr>
        <w:pStyle w:val="ListParagraph"/>
        <w:spacing w:after="120"/>
        <w:ind w:left="6480"/>
        <w:contextualSpacing w:val="0"/>
        <w:rPr>
          <w:szCs w:val="24"/>
        </w:rPr>
      </w:pPr>
      <w:r w:rsidRPr="00F57418">
        <w:rPr>
          <w:szCs w:val="24"/>
        </w:rPr>
        <w:t xml:space="preserve">Martin Rodger KC, </w:t>
      </w:r>
    </w:p>
    <w:p w14:paraId="0C70CB0C" w14:textId="23E05386" w:rsidR="005A4237" w:rsidRPr="00F57418" w:rsidRDefault="005A4237" w:rsidP="00396202">
      <w:pPr>
        <w:pStyle w:val="ListParagraph"/>
        <w:spacing w:after="120"/>
        <w:ind w:left="6480"/>
        <w:contextualSpacing w:val="0"/>
        <w:rPr>
          <w:szCs w:val="24"/>
        </w:rPr>
      </w:pPr>
      <w:r w:rsidRPr="00F57418">
        <w:rPr>
          <w:szCs w:val="24"/>
        </w:rPr>
        <w:t>Deputy Chamber President</w:t>
      </w:r>
    </w:p>
    <w:p w14:paraId="4C0B5A83" w14:textId="2C4A54CB" w:rsidR="00370E73" w:rsidRDefault="00396202" w:rsidP="005A4237">
      <w:pPr>
        <w:spacing w:after="120"/>
        <w:jc w:val="right"/>
        <w:rPr>
          <w:szCs w:val="24"/>
        </w:rPr>
      </w:pPr>
      <w:r>
        <w:rPr>
          <w:szCs w:val="24"/>
        </w:rPr>
        <w:t xml:space="preserve">  </w:t>
      </w:r>
      <w:r w:rsidR="00345FAB">
        <w:rPr>
          <w:szCs w:val="24"/>
        </w:rPr>
        <w:t>29</w:t>
      </w:r>
      <w:r>
        <w:rPr>
          <w:szCs w:val="24"/>
        </w:rPr>
        <w:t xml:space="preserve"> January </w:t>
      </w:r>
      <w:r w:rsidR="00A57C6F">
        <w:rPr>
          <w:szCs w:val="24"/>
        </w:rPr>
        <w:t>2024</w:t>
      </w:r>
    </w:p>
    <w:p w14:paraId="65C6271D" w14:textId="77777777" w:rsidR="0001244B" w:rsidRDefault="0001244B" w:rsidP="0001244B">
      <w:pPr>
        <w:spacing w:after="120"/>
        <w:rPr>
          <w:szCs w:val="24"/>
        </w:rPr>
      </w:pPr>
    </w:p>
    <w:p w14:paraId="6269AAAD" w14:textId="77777777" w:rsidR="0001244B" w:rsidRDefault="0001244B" w:rsidP="0001244B">
      <w:pPr>
        <w:spacing w:after="120"/>
        <w:rPr>
          <w:szCs w:val="24"/>
        </w:rPr>
      </w:pPr>
    </w:p>
    <w:p w14:paraId="140563C4" w14:textId="77777777" w:rsidR="002E28A2" w:rsidRPr="006D04A3" w:rsidRDefault="002E28A2" w:rsidP="002E28A2">
      <w:pPr>
        <w:rPr>
          <w:b/>
          <w:bCs/>
          <w:spacing w:val="0"/>
          <w:szCs w:val="24"/>
        </w:rPr>
      </w:pPr>
      <w:r w:rsidRPr="006D04A3">
        <w:rPr>
          <w:b/>
          <w:bCs/>
          <w:szCs w:val="24"/>
        </w:rPr>
        <w:lastRenderedPageBreak/>
        <w:t xml:space="preserve">Right of appeal  </w:t>
      </w:r>
    </w:p>
    <w:p w14:paraId="2DD105A2" w14:textId="24ABE38E" w:rsidR="002E28A2" w:rsidRPr="006D04A3" w:rsidRDefault="002E28A2" w:rsidP="002E28A2">
      <w:pPr>
        <w:jc w:val="both"/>
        <w:rPr>
          <w:szCs w:val="24"/>
        </w:rPr>
      </w:pPr>
      <w:r w:rsidRPr="006D04A3">
        <w:rPr>
          <w:szCs w:val="24"/>
        </w:rPr>
        <w:t>Any party has a right of appeal to the Court of Appeal on any point of law arising from this decision.  The right of appeal may be exercised only with per</w:t>
      </w:r>
      <w:r w:rsidR="002D2859">
        <w:rPr>
          <w:szCs w:val="24"/>
        </w:rPr>
        <w:t>mis</w:t>
      </w:r>
      <w:r w:rsidR="00FB657B">
        <w:rPr>
          <w:szCs w:val="24"/>
        </w:rPr>
        <w:t>s</w:t>
      </w:r>
      <w:r w:rsidRPr="006D04A3">
        <w:rPr>
          <w:szCs w:val="24"/>
        </w:rPr>
        <w:t xml:space="preserve">ion. An application for </w:t>
      </w:r>
      <w:r w:rsidR="002D2859">
        <w:rPr>
          <w:szCs w:val="24"/>
        </w:rPr>
        <w:t>p</w:t>
      </w:r>
      <w:r w:rsidR="002D2859" w:rsidRPr="006D04A3">
        <w:rPr>
          <w:szCs w:val="24"/>
        </w:rPr>
        <w:t>er</w:t>
      </w:r>
      <w:r w:rsidR="002D2859">
        <w:rPr>
          <w:szCs w:val="24"/>
        </w:rPr>
        <w:t>mi</w:t>
      </w:r>
      <w:r w:rsidR="002D2859" w:rsidRPr="006D04A3">
        <w:rPr>
          <w:szCs w:val="24"/>
        </w:rPr>
        <w:t>ssion</w:t>
      </w:r>
      <w:r w:rsidRPr="006D04A3">
        <w:rPr>
          <w:szCs w:val="24"/>
        </w:rPr>
        <w:t xml:space="preserve"> to appeal to the Court of Appeal must be sent or delivered to the Tribunal so that it is received within 1 month after the date on which this decision is sent to the parties (unless an application for costs is made within 14 days of the decision being sent to the parties, in which case an application for </w:t>
      </w:r>
      <w:r w:rsidR="002D2859" w:rsidRPr="006D04A3">
        <w:rPr>
          <w:szCs w:val="24"/>
        </w:rPr>
        <w:t>per</w:t>
      </w:r>
      <w:r w:rsidR="002D2859">
        <w:rPr>
          <w:szCs w:val="24"/>
        </w:rPr>
        <w:t>mi</w:t>
      </w:r>
      <w:r w:rsidR="002D2859" w:rsidRPr="006D04A3">
        <w:rPr>
          <w:szCs w:val="24"/>
        </w:rPr>
        <w:t>ssion</w:t>
      </w:r>
      <w:r w:rsidRPr="006D04A3">
        <w:rPr>
          <w:szCs w:val="24"/>
        </w:rPr>
        <w:t xml:space="preserve"> to appeal must be made within 1 month of the date on which the Tribunal’s decision on costs is sent to the parties).  An application for </w:t>
      </w:r>
      <w:r w:rsidR="002D2859" w:rsidRPr="006D04A3">
        <w:rPr>
          <w:szCs w:val="24"/>
        </w:rPr>
        <w:t>per</w:t>
      </w:r>
      <w:r w:rsidR="002D2859">
        <w:rPr>
          <w:szCs w:val="24"/>
        </w:rPr>
        <w:t>mi</w:t>
      </w:r>
      <w:r w:rsidR="002D2859" w:rsidRPr="006D04A3">
        <w:rPr>
          <w:szCs w:val="24"/>
        </w:rPr>
        <w:t>ssion</w:t>
      </w:r>
      <w:r w:rsidRPr="006D04A3">
        <w:rPr>
          <w:szCs w:val="24"/>
        </w:rPr>
        <w:t xml:space="preserve"> to appeal must identify the decision of the Tribunal to which it relates, identify the alleged error or errors of law in the decision, and state the result the party making the application is seeking.  If the Tribunal refuses </w:t>
      </w:r>
      <w:r w:rsidR="002D2859" w:rsidRPr="006D04A3">
        <w:rPr>
          <w:szCs w:val="24"/>
        </w:rPr>
        <w:t>per</w:t>
      </w:r>
      <w:r w:rsidR="002D2859">
        <w:rPr>
          <w:szCs w:val="24"/>
        </w:rPr>
        <w:t>mi</w:t>
      </w:r>
      <w:r w:rsidR="002D2859" w:rsidRPr="006D04A3">
        <w:rPr>
          <w:szCs w:val="24"/>
        </w:rPr>
        <w:t>ssion</w:t>
      </w:r>
      <w:r w:rsidRPr="006D04A3">
        <w:rPr>
          <w:szCs w:val="24"/>
        </w:rPr>
        <w:t xml:space="preserve"> to appeal a further application may then be made to the Court of Appeal for </w:t>
      </w:r>
      <w:r w:rsidR="002D2859" w:rsidRPr="006D04A3">
        <w:rPr>
          <w:szCs w:val="24"/>
        </w:rPr>
        <w:t>per</w:t>
      </w:r>
      <w:r w:rsidR="002D2859">
        <w:rPr>
          <w:szCs w:val="24"/>
        </w:rPr>
        <w:t>mi</w:t>
      </w:r>
      <w:r w:rsidR="002D2859" w:rsidRPr="006D04A3">
        <w:rPr>
          <w:szCs w:val="24"/>
        </w:rPr>
        <w:t>ssion</w:t>
      </w:r>
      <w:r w:rsidRPr="006D04A3">
        <w:rPr>
          <w:szCs w:val="24"/>
        </w:rPr>
        <w:t>.</w:t>
      </w:r>
    </w:p>
    <w:p w14:paraId="46D1F0DE" w14:textId="77777777" w:rsidR="002E28A2" w:rsidRPr="006D04A3" w:rsidRDefault="002E28A2" w:rsidP="002E28A2">
      <w:pPr>
        <w:pStyle w:val="Normal2"/>
        <w:spacing w:after="360"/>
        <w:rPr>
          <w:szCs w:val="24"/>
        </w:rPr>
      </w:pPr>
    </w:p>
    <w:p w14:paraId="5EB82F8C" w14:textId="77777777" w:rsidR="00924F86" w:rsidRPr="004E2648" w:rsidRDefault="00924F86" w:rsidP="002E28A2">
      <w:pPr>
        <w:spacing w:after="360"/>
        <w:jc w:val="both"/>
        <w:rPr>
          <w:szCs w:val="24"/>
        </w:rPr>
      </w:pPr>
    </w:p>
    <w:sectPr w:rsidR="00924F86" w:rsidRPr="004E2648" w:rsidSect="00A5551A">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07E7" w14:textId="77777777" w:rsidR="000D7E3B" w:rsidRDefault="000D7E3B" w:rsidP="00DC002B">
      <w:r>
        <w:separator/>
      </w:r>
    </w:p>
  </w:endnote>
  <w:endnote w:type="continuationSeparator" w:id="0">
    <w:p w14:paraId="258ED92E" w14:textId="77777777" w:rsidR="000D7E3B" w:rsidRDefault="000D7E3B" w:rsidP="00DC002B">
      <w:r>
        <w:continuationSeparator/>
      </w:r>
    </w:p>
  </w:endnote>
  <w:endnote w:type="continuationNotice" w:id="1">
    <w:p w14:paraId="36A93EE2" w14:textId="77777777" w:rsidR="000D7E3B" w:rsidRDefault="000D7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311F" w14:textId="77777777" w:rsidR="00761A73" w:rsidRDefault="00761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52401C" w14:textId="77777777" w:rsidR="00761A73" w:rsidRDefault="0076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50EF" w14:textId="77777777" w:rsidR="00761A73" w:rsidRDefault="00761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AFEA767" w14:textId="77777777" w:rsidR="00761A73" w:rsidRDefault="00761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4EF8" w14:textId="77777777" w:rsidR="00854247" w:rsidRDefault="0085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731" w14:textId="77777777" w:rsidR="000D7E3B" w:rsidRDefault="000D7E3B" w:rsidP="00DC002B">
      <w:r>
        <w:separator/>
      </w:r>
    </w:p>
  </w:footnote>
  <w:footnote w:type="continuationSeparator" w:id="0">
    <w:p w14:paraId="6174BF25" w14:textId="77777777" w:rsidR="000D7E3B" w:rsidRDefault="000D7E3B" w:rsidP="00DC002B">
      <w:r>
        <w:continuationSeparator/>
      </w:r>
    </w:p>
  </w:footnote>
  <w:footnote w:type="continuationNotice" w:id="1">
    <w:p w14:paraId="6542C35E" w14:textId="77777777" w:rsidR="000D7E3B" w:rsidRDefault="000D7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D8A4" w14:textId="01E5387B" w:rsidR="00F01F28" w:rsidRDefault="00F01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9FB7" w14:textId="51B47D75" w:rsidR="00F01F28" w:rsidRDefault="00F01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6F22" w14:textId="411947D3" w:rsidR="00F01F28" w:rsidRDefault="00F0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0227B2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06300C7A"/>
    <w:multiLevelType w:val="hybridMultilevel"/>
    <w:tmpl w:val="699A9DDC"/>
    <w:lvl w:ilvl="0" w:tplc="9626BCFA">
      <w:start w:val="1"/>
      <w:numFmt w:val="decimal"/>
      <w:pStyle w:val="Paranumbering"/>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049F7"/>
    <w:multiLevelType w:val="hybridMultilevel"/>
    <w:tmpl w:val="913EA22A"/>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 w15:restartNumberingAfterBreak="0">
    <w:nsid w:val="244F1AC8"/>
    <w:multiLevelType w:val="hybridMultilevel"/>
    <w:tmpl w:val="43880D28"/>
    <w:lvl w:ilvl="0" w:tplc="22D46E6A">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4" w15:restartNumberingAfterBreak="0">
    <w:nsid w:val="3218054D"/>
    <w:multiLevelType w:val="hybridMultilevel"/>
    <w:tmpl w:val="AD18E708"/>
    <w:lvl w:ilvl="0" w:tplc="83B8A276">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72C32"/>
    <w:multiLevelType w:val="hybridMultilevel"/>
    <w:tmpl w:val="A336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977A6"/>
    <w:multiLevelType w:val="hybridMultilevel"/>
    <w:tmpl w:val="F3D01EA6"/>
    <w:lvl w:ilvl="0" w:tplc="75FA5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F2C19E6"/>
    <w:multiLevelType w:val="hybridMultilevel"/>
    <w:tmpl w:val="C7FCAB02"/>
    <w:lvl w:ilvl="0" w:tplc="98E8A122">
      <w:start w:val="1"/>
      <w:numFmt w:val="decimal"/>
      <w:lvlText w:val="%1."/>
      <w:lvlJc w:val="left"/>
      <w:pPr>
        <w:ind w:left="720" w:hanging="360"/>
      </w:pPr>
      <w:rPr>
        <w:b w:val="0"/>
        <w:bCs w:val="0"/>
      </w:rPr>
    </w:lvl>
    <w:lvl w:ilvl="1" w:tplc="15F6FF6C">
      <w:start w:val="1"/>
      <w:numFmt w:val="lowerLetter"/>
      <w:lvlText w:val="%2."/>
      <w:lvlJc w:val="left"/>
      <w:pPr>
        <w:ind w:left="1440" w:hanging="360"/>
      </w:pPr>
    </w:lvl>
    <w:lvl w:ilvl="2" w:tplc="7A34BABA">
      <w:start w:val="1"/>
      <w:numFmt w:val="lowerLetter"/>
      <w:lvlText w:val="%3."/>
      <w:lvlJc w:val="left"/>
      <w:pPr>
        <w:ind w:left="2340" w:hanging="360"/>
      </w:pPr>
    </w:lvl>
    <w:lvl w:ilvl="3" w:tplc="F628E598">
      <w:start w:val="1"/>
      <w:numFmt w:val="decimal"/>
      <w:lvlText w:val="%4."/>
      <w:lvlJc w:val="left"/>
      <w:pPr>
        <w:ind w:left="2880" w:hanging="360"/>
      </w:pPr>
    </w:lvl>
    <w:lvl w:ilvl="4" w:tplc="7CC40184">
      <w:start w:val="1"/>
      <w:numFmt w:val="lowerLetter"/>
      <w:lvlText w:val="%5."/>
      <w:lvlJc w:val="left"/>
      <w:pPr>
        <w:ind w:left="3600" w:hanging="360"/>
      </w:pPr>
    </w:lvl>
    <w:lvl w:ilvl="5" w:tplc="A6383834">
      <w:start w:val="1"/>
      <w:numFmt w:val="lowerRoman"/>
      <w:lvlText w:val="%6."/>
      <w:lvlJc w:val="right"/>
      <w:pPr>
        <w:ind w:left="4320" w:hanging="180"/>
      </w:pPr>
    </w:lvl>
    <w:lvl w:ilvl="6" w:tplc="771E2CE4">
      <w:start w:val="1"/>
      <w:numFmt w:val="decimal"/>
      <w:lvlText w:val="%7."/>
      <w:lvlJc w:val="left"/>
      <w:pPr>
        <w:ind w:left="5040" w:hanging="360"/>
      </w:pPr>
    </w:lvl>
    <w:lvl w:ilvl="7" w:tplc="9AB0F694">
      <w:start w:val="1"/>
      <w:numFmt w:val="lowerLetter"/>
      <w:lvlText w:val="%8."/>
      <w:lvlJc w:val="left"/>
      <w:pPr>
        <w:ind w:left="5760" w:hanging="360"/>
      </w:pPr>
    </w:lvl>
    <w:lvl w:ilvl="8" w:tplc="525613B0">
      <w:start w:val="1"/>
      <w:numFmt w:val="lowerRoman"/>
      <w:lvlText w:val="%9."/>
      <w:lvlJc w:val="right"/>
      <w:pPr>
        <w:ind w:left="6480" w:hanging="180"/>
      </w:pPr>
    </w:lvl>
  </w:abstractNum>
  <w:abstractNum w:abstractNumId="8" w15:restartNumberingAfterBreak="0">
    <w:nsid w:val="4F4C52C0"/>
    <w:multiLevelType w:val="hybridMultilevel"/>
    <w:tmpl w:val="6B4A6344"/>
    <w:lvl w:ilvl="0" w:tplc="FFFFFFFF">
      <w:start w:val="1"/>
      <w:numFmt w:val="decimal"/>
      <w:lvlText w:val="%1."/>
      <w:lvlJc w:val="left"/>
      <w:pPr>
        <w:ind w:left="1080" w:hanging="360"/>
      </w:pPr>
      <w:rPr>
        <w:rFonts w:hint="default"/>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4E458E4"/>
    <w:multiLevelType w:val="hybridMultilevel"/>
    <w:tmpl w:val="18C0F7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52C25C2"/>
    <w:multiLevelType w:val="hybridMultilevel"/>
    <w:tmpl w:val="781A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055398577">
    <w:abstractNumId w:val="0"/>
  </w:num>
  <w:num w:numId="2" w16cid:durableId="1774785230">
    <w:abstractNumId w:val="11"/>
  </w:num>
  <w:num w:numId="3" w16cid:durableId="516118733">
    <w:abstractNumId w:val="1"/>
  </w:num>
  <w:num w:numId="4" w16cid:durableId="783500198">
    <w:abstractNumId w:val="10"/>
  </w:num>
  <w:num w:numId="5" w16cid:durableId="1425833504">
    <w:abstractNumId w:val="4"/>
  </w:num>
  <w:num w:numId="6" w16cid:durableId="1189565618">
    <w:abstractNumId w:val="8"/>
  </w:num>
  <w:num w:numId="7" w16cid:durableId="2039231493">
    <w:abstractNumId w:val="5"/>
  </w:num>
  <w:num w:numId="8" w16cid:durableId="53505908">
    <w:abstractNumId w:val="3"/>
  </w:num>
  <w:num w:numId="9" w16cid:durableId="611594148">
    <w:abstractNumId w:val="9"/>
  </w:num>
  <w:num w:numId="10" w16cid:durableId="1618296677">
    <w:abstractNumId w:val="2"/>
  </w:num>
  <w:num w:numId="11" w16cid:durableId="1857035717">
    <w:abstractNumId w:val="6"/>
  </w:num>
  <w:num w:numId="12" w16cid:durableId="1090198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 w:val="Najib Afsar"/>
    <w:docVar w:name="1" w:val="the Ft-T"/>
    <w:docVar w:name="10" w:val="Mr Mahmood"/>
    <w:docVar w:name="11" w:val="Carltons"/>
    <w:docVar w:name="12" w:val="Vicarage Court"/>
    <w:docVar w:name="13" w:val="Ms Tromans"/>
    <w:docVar w:name="2" w:val="this Tribunal"/>
    <w:docVar w:name="3" w:val="Judge Taylor"/>
    <w:docVar w:name="4" w:val="SKPM"/>
    <w:docVar w:name="5" w:val="the Property"/>
    <w:docVar w:name="6" w:val="Mr Byrne"/>
    <w:docVar w:name="7" w:val="the Sale Agreement"/>
    <w:docVar w:name="8" w:val="Ms Tromans"/>
    <w:docVar w:name="9" w:val="Shakeel Afsar"/>
  </w:docVars>
  <w:rsids>
    <w:rsidRoot w:val="001805B2"/>
    <w:rsid w:val="00001519"/>
    <w:rsid w:val="00002748"/>
    <w:rsid w:val="00003388"/>
    <w:rsid w:val="00004162"/>
    <w:rsid w:val="000048F3"/>
    <w:rsid w:val="00004F1F"/>
    <w:rsid w:val="0000503C"/>
    <w:rsid w:val="00005DB2"/>
    <w:rsid w:val="0000638F"/>
    <w:rsid w:val="0000712B"/>
    <w:rsid w:val="0000727C"/>
    <w:rsid w:val="000077D3"/>
    <w:rsid w:val="00007CC5"/>
    <w:rsid w:val="0001244B"/>
    <w:rsid w:val="000124ED"/>
    <w:rsid w:val="00013FB0"/>
    <w:rsid w:val="00014AAB"/>
    <w:rsid w:val="000152FC"/>
    <w:rsid w:val="00015324"/>
    <w:rsid w:val="00015E3A"/>
    <w:rsid w:val="00017C21"/>
    <w:rsid w:val="00017EE2"/>
    <w:rsid w:val="000205BB"/>
    <w:rsid w:val="000207B3"/>
    <w:rsid w:val="00020FC6"/>
    <w:rsid w:val="000210E6"/>
    <w:rsid w:val="00022483"/>
    <w:rsid w:val="000229EF"/>
    <w:rsid w:val="0002380D"/>
    <w:rsid w:val="000262E9"/>
    <w:rsid w:val="000266F8"/>
    <w:rsid w:val="00026D38"/>
    <w:rsid w:val="00027913"/>
    <w:rsid w:val="00030729"/>
    <w:rsid w:val="000319A1"/>
    <w:rsid w:val="00031E2D"/>
    <w:rsid w:val="00032523"/>
    <w:rsid w:val="00032957"/>
    <w:rsid w:val="00035F10"/>
    <w:rsid w:val="00036158"/>
    <w:rsid w:val="00037441"/>
    <w:rsid w:val="0004211F"/>
    <w:rsid w:val="00042A66"/>
    <w:rsid w:val="00042CB4"/>
    <w:rsid w:val="0004580C"/>
    <w:rsid w:val="00046A23"/>
    <w:rsid w:val="0005009F"/>
    <w:rsid w:val="00050961"/>
    <w:rsid w:val="00052376"/>
    <w:rsid w:val="000530C2"/>
    <w:rsid w:val="00054BB2"/>
    <w:rsid w:val="00056B1A"/>
    <w:rsid w:val="000579B5"/>
    <w:rsid w:val="00061A2D"/>
    <w:rsid w:val="00061FEB"/>
    <w:rsid w:val="00063368"/>
    <w:rsid w:val="00063572"/>
    <w:rsid w:val="0006417E"/>
    <w:rsid w:val="0006613F"/>
    <w:rsid w:val="000663F5"/>
    <w:rsid w:val="000716D8"/>
    <w:rsid w:val="00071FC9"/>
    <w:rsid w:val="00073480"/>
    <w:rsid w:val="0007753A"/>
    <w:rsid w:val="00081839"/>
    <w:rsid w:val="00081F15"/>
    <w:rsid w:val="00083A65"/>
    <w:rsid w:val="00084C24"/>
    <w:rsid w:val="0008597C"/>
    <w:rsid w:val="00086611"/>
    <w:rsid w:val="00086C64"/>
    <w:rsid w:val="00086D0C"/>
    <w:rsid w:val="00086D92"/>
    <w:rsid w:val="00087724"/>
    <w:rsid w:val="00087808"/>
    <w:rsid w:val="00087B02"/>
    <w:rsid w:val="00090E71"/>
    <w:rsid w:val="00092A00"/>
    <w:rsid w:val="0009398B"/>
    <w:rsid w:val="00095480"/>
    <w:rsid w:val="00097B12"/>
    <w:rsid w:val="000A1BFD"/>
    <w:rsid w:val="000A21D6"/>
    <w:rsid w:val="000A26BD"/>
    <w:rsid w:val="000A2718"/>
    <w:rsid w:val="000A318E"/>
    <w:rsid w:val="000A325B"/>
    <w:rsid w:val="000A34AD"/>
    <w:rsid w:val="000A47A1"/>
    <w:rsid w:val="000A54B9"/>
    <w:rsid w:val="000A7223"/>
    <w:rsid w:val="000A74C1"/>
    <w:rsid w:val="000A7E81"/>
    <w:rsid w:val="000B1601"/>
    <w:rsid w:val="000B1DAE"/>
    <w:rsid w:val="000B28D7"/>
    <w:rsid w:val="000B4017"/>
    <w:rsid w:val="000B42C7"/>
    <w:rsid w:val="000B4BA1"/>
    <w:rsid w:val="000B5816"/>
    <w:rsid w:val="000B690A"/>
    <w:rsid w:val="000C003A"/>
    <w:rsid w:val="000C0365"/>
    <w:rsid w:val="000C0FA7"/>
    <w:rsid w:val="000C163E"/>
    <w:rsid w:val="000C1CC5"/>
    <w:rsid w:val="000C2B14"/>
    <w:rsid w:val="000C34C4"/>
    <w:rsid w:val="000C3B71"/>
    <w:rsid w:val="000C4191"/>
    <w:rsid w:val="000C4600"/>
    <w:rsid w:val="000C4FFF"/>
    <w:rsid w:val="000C5B14"/>
    <w:rsid w:val="000C6301"/>
    <w:rsid w:val="000C6476"/>
    <w:rsid w:val="000C785C"/>
    <w:rsid w:val="000D0ED2"/>
    <w:rsid w:val="000D1791"/>
    <w:rsid w:val="000D196E"/>
    <w:rsid w:val="000D29BE"/>
    <w:rsid w:val="000D4F21"/>
    <w:rsid w:val="000D5406"/>
    <w:rsid w:val="000D610F"/>
    <w:rsid w:val="000D61F3"/>
    <w:rsid w:val="000D6E92"/>
    <w:rsid w:val="000D6FD8"/>
    <w:rsid w:val="000D7E3B"/>
    <w:rsid w:val="000E0484"/>
    <w:rsid w:val="000E062B"/>
    <w:rsid w:val="000E2B63"/>
    <w:rsid w:val="000E33FD"/>
    <w:rsid w:val="000E3A4F"/>
    <w:rsid w:val="000E3BF0"/>
    <w:rsid w:val="000E42D5"/>
    <w:rsid w:val="000E4647"/>
    <w:rsid w:val="000E4C69"/>
    <w:rsid w:val="000E4E0B"/>
    <w:rsid w:val="000E4E83"/>
    <w:rsid w:val="000E5E0F"/>
    <w:rsid w:val="000E7B12"/>
    <w:rsid w:val="000F0219"/>
    <w:rsid w:val="000F0EAC"/>
    <w:rsid w:val="000F1054"/>
    <w:rsid w:val="000F15E4"/>
    <w:rsid w:val="000F1E7E"/>
    <w:rsid w:val="000F1EFB"/>
    <w:rsid w:val="000F3F81"/>
    <w:rsid w:val="000F4184"/>
    <w:rsid w:val="000F43BC"/>
    <w:rsid w:val="000F444E"/>
    <w:rsid w:val="000F473A"/>
    <w:rsid w:val="000F5535"/>
    <w:rsid w:val="000F56BA"/>
    <w:rsid w:val="000F5BB5"/>
    <w:rsid w:val="000F7DA8"/>
    <w:rsid w:val="00100A1A"/>
    <w:rsid w:val="00100ED5"/>
    <w:rsid w:val="001017A5"/>
    <w:rsid w:val="001023B5"/>
    <w:rsid w:val="00104BAC"/>
    <w:rsid w:val="0010507C"/>
    <w:rsid w:val="0010696B"/>
    <w:rsid w:val="00111F0A"/>
    <w:rsid w:val="00112FBC"/>
    <w:rsid w:val="0011478C"/>
    <w:rsid w:val="001168FA"/>
    <w:rsid w:val="00116E6C"/>
    <w:rsid w:val="00117061"/>
    <w:rsid w:val="00120B34"/>
    <w:rsid w:val="00120BA9"/>
    <w:rsid w:val="00121DEE"/>
    <w:rsid w:val="001222D9"/>
    <w:rsid w:val="00122CA5"/>
    <w:rsid w:val="00122F6E"/>
    <w:rsid w:val="0012338C"/>
    <w:rsid w:val="00124114"/>
    <w:rsid w:val="00124486"/>
    <w:rsid w:val="00130152"/>
    <w:rsid w:val="0013135B"/>
    <w:rsid w:val="0013136F"/>
    <w:rsid w:val="00131E10"/>
    <w:rsid w:val="00133B91"/>
    <w:rsid w:val="00135EA7"/>
    <w:rsid w:val="0013724B"/>
    <w:rsid w:val="0013787A"/>
    <w:rsid w:val="0014194D"/>
    <w:rsid w:val="00141B45"/>
    <w:rsid w:val="00141BFB"/>
    <w:rsid w:val="001421C2"/>
    <w:rsid w:val="00143517"/>
    <w:rsid w:val="0014359D"/>
    <w:rsid w:val="00143F3D"/>
    <w:rsid w:val="00144843"/>
    <w:rsid w:val="001459B9"/>
    <w:rsid w:val="00145BE4"/>
    <w:rsid w:val="00146068"/>
    <w:rsid w:val="00146B25"/>
    <w:rsid w:val="00147699"/>
    <w:rsid w:val="00147752"/>
    <w:rsid w:val="001506E4"/>
    <w:rsid w:val="00151128"/>
    <w:rsid w:val="00153286"/>
    <w:rsid w:val="00153F17"/>
    <w:rsid w:val="00156227"/>
    <w:rsid w:val="0015633B"/>
    <w:rsid w:val="00156E54"/>
    <w:rsid w:val="00157B18"/>
    <w:rsid w:val="00157E05"/>
    <w:rsid w:val="001604E1"/>
    <w:rsid w:val="00161D11"/>
    <w:rsid w:val="00162031"/>
    <w:rsid w:val="00163D0E"/>
    <w:rsid w:val="00164535"/>
    <w:rsid w:val="00164E8D"/>
    <w:rsid w:val="00166100"/>
    <w:rsid w:val="00166A1C"/>
    <w:rsid w:val="00170B13"/>
    <w:rsid w:val="001710C4"/>
    <w:rsid w:val="0017289F"/>
    <w:rsid w:val="00172BE4"/>
    <w:rsid w:val="001740DF"/>
    <w:rsid w:val="0017481F"/>
    <w:rsid w:val="00174D0F"/>
    <w:rsid w:val="001778BC"/>
    <w:rsid w:val="00177FC1"/>
    <w:rsid w:val="001805B2"/>
    <w:rsid w:val="00181C6C"/>
    <w:rsid w:val="001831ED"/>
    <w:rsid w:val="00184019"/>
    <w:rsid w:val="00184031"/>
    <w:rsid w:val="00184ECA"/>
    <w:rsid w:val="001857A4"/>
    <w:rsid w:val="00186244"/>
    <w:rsid w:val="001869A4"/>
    <w:rsid w:val="00187F78"/>
    <w:rsid w:val="0019093E"/>
    <w:rsid w:val="00192DEF"/>
    <w:rsid w:val="00193D16"/>
    <w:rsid w:val="001941DF"/>
    <w:rsid w:val="0019436F"/>
    <w:rsid w:val="00195161"/>
    <w:rsid w:val="00195B2F"/>
    <w:rsid w:val="001960BF"/>
    <w:rsid w:val="001A027C"/>
    <w:rsid w:val="001A2682"/>
    <w:rsid w:val="001A26E8"/>
    <w:rsid w:val="001A4FF7"/>
    <w:rsid w:val="001A560B"/>
    <w:rsid w:val="001A567E"/>
    <w:rsid w:val="001A5ACE"/>
    <w:rsid w:val="001A6F47"/>
    <w:rsid w:val="001A751A"/>
    <w:rsid w:val="001B1EC2"/>
    <w:rsid w:val="001B2169"/>
    <w:rsid w:val="001B4519"/>
    <w:rsid w:val="001B776E"/>
    <w:rsid w:val="001B7F13"/>
    <w:rsid w:val="001C09E8"/>
    <w:rsid w:val="001C126F"/>
    <w:rsid w:val="001C1F0D"/>
    <w:rsid w:val="001C2374"/>
    <w:rsid w:val="001C26A2"/>
    <w:rsid w:val="001C4DCE"/>
    <w:rsid w:val="001C4EF2"/>
    <w:rsid w:val="001C70FD"/>
    <w:rsid w:val="001D029D"/>
    <w:rsid w:val="001D3DA0"/>
    <w:rsid w:val="001D41CA"/>
    <w:rsid w:val="001D50E1"/>
    <w:rsid w:val="001E2909"/>
    <w:rsid w:val="001E4527"/>
    <w:rsid w:val="001E530F"/>
    <w:rsid w:val="001E589F"/>
    <w:rsid w:val="001E5C9B"/>
    <w:rsid w:val="001E6495"/>
    <w:rsid w:val="001F120E"/>
    <w:rsid w:val="001F1288"/>
    <w:rsid w:val="001F16F2"/>
    <w:rsid w:val="001F3078"/>
    <w:rsid w:val="001F418A"/>
    <w:rsid w:val="001F722F"/>
    <w:rsid w:val="001F7957"/>
    <w:rsid w:val="00201548"/>
    <w:rsid w:val="002024A0"/>
    <w:rsid w:val="002034A8"/>
    <w:rsid w:val="0020442C"/>
    <w:rsid w:val="002044A0"/>
    <w:rsid w:val="00204584"/>
    <w:rsid w:val="00205BC6"/>
    <w:rsid w:val="00205E58"/>
    <w:rsid w:val="0020667C"/>
    <w:rsid w:val="0020693E"/>
    <w:rsid w:val="00206A70"/>
    <w:rsid w:val="00206C8D"/>
    <w:rsid w:val="00207101"/>
    <w:rsid w:val="00207821"/>
    <w:rsid w:val="00207917"/>
    <w:rsid w:val="00210088"/>
    <w:rsid w:val="00210E07"/>
    <w:rsid w:val="002111AC"/>
    <w:rsid w:val="00211C7A"/>
    <w:rsid w:val="00212C2C"/>
    <w:rsid w:val="0021329F"/>
    <w:rsid w:val="00213C3C"/>
    <w:rsid w:val="00214760"/>
    <w:rsid w:val="00215F38"/>
    <w:rsid w:val="0021651A"/>
    <w:rsid w:val="00216A03"/>
    <w:rsid w:val="002173F8"/>
    <w:rsid w:val="00217441"/>
    <w:rsid w:val="00221820"/>
    <w:rsid w:val="00222B37"/>
    <w:rsid w:val="00224B47"/>
    <w:rsid w:val="00224B76"/>
    <w:rsid w:val="00224F46"/>
    <w:rsid w:val="00226406"/>
    <w:rsid w:val="002277C8"/>
    <w:rsid w:val="00231D4D"/>
    <w:rsid w:val="00231FB2"/>
    <w:rsid w:val="00232023"/>
    <w:rsid w:val="00232E4F"/>
    <w:rsid w:val="00232E9E"/>
    <w:rsid w:val="0023470F"/>
    <w:rsid w:val="00234C70"/>
    <w:rsid w:val="00237D00"/>
    <w:rsid w:val="00240B7E"/>
    <w:rsid w:val="0024151A"/>
    <w:rsid w:val="00241A18"/>
    <w:rsid w:val="00242CC4"/>
    <w:rsid w:val="00243270"/>
    <w:rsid w:val="00243718"/>
    <w:rsid w:val="0024375D"/>
    <w:rsid w:val="00243F9B"/>
    <w:rsid w:val="00244990"/>
    <w:rsid w:val="002456BC"/>
    <w:rsid w:val="00245F24"/>
    <w:rsid w:val="002462DA"/>
    <w:rsid w:val="0024632A"/>
    <w:rsid w:val="002469A1"/>
    <w:rsid w:val="00246C3E"/>
    <w:rsid w:val="002521D1"/>
    <w:rsid w:val="002523FA"/>
    <w:rsid w:val="002527FD"/>
    <w:rsid w:val="00252BB9"/>
    <w:rsid w:val="00254694"/>
    <w:rsid w:val="00254DE1"/>
    <w:rsid w:val="00255580"/>
    <w:rsid w:val="002555EE"/>
    <w:rsid w:val="00257CB4"/>
    <w:rsid w:val="002611B4"/>
    <w:rsid w:val="00261753"/>
    <w:rsid w:val="00262761"/>
    <w:rsid w:val="00264958"/>
    <w:rsid w:val="00266CD5"/>
    <w:rsid w:val="00266DA6"/>
    <w:rsid w:val="00267E1F"/>
    <w:rsid w:val="0027084D"/>
    <w:rsid w:val="00270F1A"/>
    <w:rsid w:val="002712D0"/>
    <w:rsid w:val="00272490"/>
    <w:rsid w:val="00272688"/>
    <w:rsid w:val="002729C0"/>
    <w:rsid w:val="00273C87"/>
    <w:rsid w:val="00275F85"/>
    <w:rsid w:val="00276A06"/>
    <w:rsid w:val="00277482"/>
    <w:rsid w:val="00283598"/>
    <w:rsid w:val="00284457"/>
    <w:rsid w:val="00284D42"/>
    <w:rsid w:val="002850BD"/>
    <w:rsid w:val="00285A52"/>
    <w:rsid w:val="00287085"/>
    <w:rsid w:val="002875FB"/>
    <w:rsid w:val="00287CDE"/>
    <w:rsid w:val="00290CBF"/>
    <w:rsid w:val="00292AC0"/>
    <w:rsid w:val="00293043"/>
    <w:rsid w:val="00294521"/>
    <w:rsid w:val="00294708"/>
    <w:rsid w:val="002949A1"/>
    <w:rsid w:val="00295E2E"/>
    <w:rsid w:val="00295E48"/>
    <w:rsid w:val="0029686C"/>
    <w:rsid w:val="00297A21"/>
    <w:rsid w:val="002A0FC8"/>
    <w:rsid w:val="002A10D9"/>
    <w:rsid w:val="002A178D"/>
    <w:rsid w:val="002A18D9"/>
    <w:rsid w:val="002A2B04"/>
    <w:rsid w:val="002A419F"/>
    <w:rsid w:val="002A49EF"/>
    <w:rsid w:val="002A59D8"/>
    <w:rsid w:val="002A6085"/>
    <w:rsid w:val="002A71A4"/>
    <w:rsid w:val="002B2CAD"/>
    <w:rsid w:val="002B2EF1"/>
    <w:rsid w:val="002B2FB1"/>
    <w:rsid w:val="002B43B5"/>
    <w:rsid w:val="002B4752"/>
    <w:rsid w:val="002B5CC8"/>
    <w:rsid w:val="002B654A"/>
    <w:rsid w:val="002B69AC"/>
    <w:rsid w:val="002B6F3A"/>
    <w:rsid w:val="002B7EC7"/>
    <w:rsid w:val="002C0343"/>
    <w:rsid w:val="002C09F6"/>
    <w:rsid w:val="002C0A4B"/>
    <w:rsid w:val="002C12E3"/>
    <w:rsid w:val="002C1750"/>
    <w:rsid w:val="002C19B9"/>
    <w:rsid w:val="002C1EEB"/>
    <w:rsid w:val="002C2400"/>
    <w:rsid w:val="002C2494"/>
    <w:rsid w:val="002C4B82"/>
    <w:rsid w:val="002C4CD8"/>
    <w:rsid w:val="002C5BC8"/>
    <w:rsid w:val="002C5EFC"/>
    <w:rsid w:val="002C6816"/>
    <w:rsid w:val="002C732D"/>
    <w:rsid w:val="002C7A5E"/>
    <w:rsid w:val="002D154C"/>
    <w:rsid w:val="002D1926"/>
    <w:rsid w:val="002D2824"/>
    <w:rsid w:val="002D2859"/>
    <w:rsid w:val="002D286B"/>
    <w:rsid w:val="002D2F90"/>
    <w:rsid w:val="002D3426"/>
    <w:rsid w:val="002D3AC1"/>
    <w:rsid w:val="002D3DC1"/>
    <w:rsid w:val="002D418F"/>
    <w:rsid w:val="002D426A"/>
    <w:rsid w:val="002D5E91"/>
    <w:rsid w:val="002D74E1"/>
    <w:rsid w:val="002D76ED"/>
    <w:rsid w:val="002D7B37"/>
    <w:rsid w:val="002E1BCA"/>
    <w:rsid w:val="002E24E5"/>
    <w:rsid w:val="002E28A2"/>
    <w:rsid w:val="002E2DB8"/>
    <w:rsid w:val="002E5BD6"/>
    <w:rsid w:val="002E709F"/>
    <w:rsid w:val="002F04F7"/>
    <w:rsid w:val="002F08E4"/>
    <w:rsid w:val="002F1656"/>
    <w:rsid w:val="002F16F5"/>
    <w:rsid w:val="002F1CB2"/>
    <w:rsid w:val="002F2020"/>
    <w:rsid w:val="002F2848"/>
    <w:rsid w:val="002F3D3B"/>
    <w:rsid w:val="002F3FA4"/>
    <w:rsid w:val="002F5DF2"/>
    <w:rsid w:val="002F666F"/>
    <w:rsid w:val="002F6670"/>
    <w:rsid w:val="002F75A0"/>
    <w:rsid w:val="002F7BEC"/>
    <w:rsid w:val="0030007A"/>
    <w:rsid w:val="00300361"/>
    <w:rsid w:val="0030413D"/>
    <w:rsid w:val="003048DC"/>
    <w:rsid w:val="0030515D"/>
    <w:rsid w:val="00305593"/>
    <w:rsid w:val="00306222"/>
    <w:rsid w:val="003063BB"/>
    <w:rsid w:val="003072F1"/>
    <w:rsid w:val="00307BC7"/>
    <w:rsid w:val="00307EA0"/>
    <w:rsid w:val="0031177A"/>
    <w:rsid w:val="00311C4E"/>
    <w:rsid w:val="00312833"/>
    <w:rsid w:val="00312D16"/>
    <w:rsid w:val="003137ED"/>
    <w:rsid w:val="00313C2C"/>
    <w:rsid w:val="003158A2"/>
    <w:rsid w:val="00316931"/>
    <w:rsid w:val="00316C0C"/>
    <w:rsid w:val="00317322"/>
    <w:rsid w:val="00317C3A"/>
    <w:rsid w:val="0032035B"/>
    <w:rsid w:val="003220F6"/>
    <w:rsid w:val="0032314A"/>
    <w:rsid w:val="0032394F"/>
    <w:rsid w:val="00323B2D"/>
    <w:rsid w:val="00324A99"/>
    <w:rsid w:val="00325542"/>
    <w:rsid w:val="0032560E"/>
    <w:rsid w:val="00325BC9"/>
    <w:rsid w:val="00326468"/>
    <w:rsid w:val="00330104"/>
    <w:rsid w:val="0033280C"/>
    <w:rsid w:val="00332DF6"/>
    <w:rsid w:val="00332ED4"/>
    <w:rsid w:val="00334FB2"/>
    <w:rsid w:val="00334FCF"/>
    <w:rsid w:val="0033538B"/>
    <w:rsid w:val="0033650B"/>
    <w:rsid w:val="003368B3"/>
    <w:rsid w:val="003406FF"/>
    <w:rsid w:val="00340A12"/>
    <w:rsid w:val="00343304"/>
    <w:rsid w:val="0034383C"/>
    <w:rsid w:val="00343905"/>
    <w:rsid w:val="00343BFF"/>
    <w:rsid w:val="00345D12"/>
    <w:rsid w:val="00345FAB"/>
    <w:rsid w:val="00347B58"/>
    <w:rsid w:val="00350CC3"/>
    <w:rsid w:val="00351306"/>
    <w:rsid w:val="00351FC1"/>
    <w:rsid w:val="003525FF"/>
    <w:rsid w:val="00352AB9"/>
    <w:rsid w:val="00352B15"/>
    <w:rsid w:val="003538E6"/>
    <w:rsid w:val="00353DAB"/>
    <w:rsid w:val="00354C52"/>
    <w:rsid w:val="00355A07"/>
    <w:rsid w:val="00355A49"/>
    <w:rsid w:val="00355F95"/>
    <w:rsid w:val="00357CB6"/>
    <w:rsid w:val="00364EE9"/>
    <w:rsid w:val="0036575E"/>
    <w:rsid w:val="00365B49"/>
    <w:rsid w:val="00365F1C"/>
    <w:rsid w:val="00366A60"/>
    <w:rsid w:val="00366E40"/>
    <w:rsid w:val="00366EF4"/>
    <w:rsid w:val="00367D90"/>
    <w:rsid w:val="00370595"/>
    <w:rsid w:val="00370E73"/>
    <w:rsid w:val="00371A3B"/>
    <w:rsid w:val="00371F0E"/>
    <w:rsid w:val="0037205D"/>
    <w:rsid w:val="003734BA"/>
    <w:rsid w:val="00373A94"/>
    <w:rsid w:val="0037423C"/>
    <w:rsid w:val="00374BE3"/>
    <w:rsid w:val="00377C6A"/>
    <w:rsid w:val="00380545"/>
    <w:rsid w:val="00380F9F"/>
    <w:rsid w:val="00380FA7"/>
    <w:rsid w:val="00382269"/>
    <w:rsid w:val="00382782"/>
    <w:rsid w:val="00382AC6"/>
    <w:rsid w:val="003832B9"/>
    <w:rsid w:val="00390217"/>
    <w:rsid w:val="003905D1"/>
    <w:rsid w:val="003905DF"/>
    <w:rsid w:val="003914DA"/>
    <w:rsid w:val="00391DC7"/>
    <w:rsid w:val="00391DFC"/>
    <w:rsid w:val="0039301A"/>
    <w:rsid w:val="003953BD"/>
    <w:rsid w:val="00396202"/>
    <w:rsid w:val="00396AC8"/>
    <w:rsid w:val="003A3CDD"/>
    <w:rsid w:val="003A4C45"/>
    <w:rsid w:val="003A50FB"/>
    <w:rsid w:val="003A57A4"/>
    <w:rsid w:val="003A7DCB"/>
    <w:rsid w:val="003B124D"/>
    <w:rsid w:val="003B29AB"/>
    <w:rsid w:val="003B2AAC"/>
    <w:rsid w:val="003B3268"/>
    <w:rsid w:val="003B379B"/>
    <w:rsid w:val="003B4C59"/>
    <w:rsid w:val="003B4DC4"/>
    <w:rsid w:val="003B6765"/>
    <w:rsid w:val="003B6ED1"/>
    <w:rsid w:val="003B7087"/>
    <w:rsid w:val="003B7A4C"/>
    <w:rsid w:val="003C0681"/>
    <w:rsid w:val="003C0828"/>
    <w:rsid w:val="003C1200"/>
    <w:rsid w:val="003C1E9C"/>
    <w:rsid w:val="003C2783"/>
    <w:rsid w:val="003C5E71"/>
    <w:rsid w:val="003C6A33"/>
    <w:rsid w:val="003C79EA"/>
    <w:rsid w:val="003D0BE3"/>
    <w:rsid w:val="003D0EEE"/>
    <w:rsid w:val="003D25D2"/>
    <w:rsid w:val="003D2770"/>
    <w:rsid w:val="003D2ED0"/>
    <w:rsid w:val="003D3F62"/>
    <w:rsid w:val="003D4F56"/>
    <w:rsid w:val="003D6099"/>
    <w:rsid w:val="003D7533"/>
    <w:rsid w:val="003D7755"/>
    <w:rsid w:val="003E03D4"/>
    <w:rsid w:val="003E143F"/>
    <w:rsid w:val="003E155A"/>
    <w:rsid w:val="003E1AB2"/>
    <w:rsid w:val="003E4329"/>
    <w:rsid w:val="003E487B"/>
    <w:rsid w:val="003E4B86"/>
    <w:rsid w:val="003E4EC3"/>
    <w:rsid w:val="003E6306"/>
    <w:rsid w:val="003E77E5"/>
    <w:rsid w:val="003E7CEB"/>
    <w:rsid w:val="003E7D71"/>
    <w:rsid w:val="003F0113"/>
    <w:rsid w:val="003F11C3"/>
    <w:rsid w:val="003F16A5"/>
    <w:rsid w:val="003F29F8"/>
    <w:rsid w:val="003F3919"/>
    <w:rsid w:val="003F3E67"/>
    <w:rsid w:val="003F5731"/>
    <w:rsid w:val="003F6B46"/>
    <w:rsid w:val="003F7100"/>
    <w:rsid w:val="00400574"/>
    <w:rsid w:val="00400A7F"/>
    <w:rsid w:val="0040106C"/>
    <w:rsid w:val="00401D1D"/>
    <w:rsid w:val="00401EAE"/>
    <w:rsid w:val="00402F7A"/>
    <w:rsid w:val="00405032"/>
    <w:rsid w:val="00405845"/>
    <w:rsid w:val="004062F4"/>
    <w:rsid w:val="00406628"/>
    <w:rsid w:val="00406A92"/>
    <w:rsid w:val="00410732"/>
    <w:rsid w:val="00410BB6"/>
    <w:rsid w:val="00411252"/>
    <w:rsid w:val="00411890"/>
    <w:rsid w:val="00411C38"/>
    <w:rsid w:val="00416007"/>
    <w:rsid w:val="00417C8C"/>
    <w:rsid w:val="00421235"/>
    <w:rsid w:val="0042202D"/>
    <w:rsid w:val="004221E0"/>
    <w:rsid w:val="00425C0A"/>
    <w:rsid w:val="00425C79"/>
    <w:rsid w:val="0042744F"/>
    <w:rsid w:val="004279FC"/>
    <w:rsid w:val="00427FFA"/>
    <w:rsid w:val="0043023C"/>
    <w:rsid w:val="00431479"/>
    <w:rsid w:val="00431ACA"/>
    <w:rsid w:val="00433245"/>
    <w:rsid w:val="004340C7"/>
    <w:rsid w:val="0043449F"/>
    <w:rsid w:val="0043454F"/>
    <w:rsid w:val="00434CAC"/>
    <w:rsid w:val="00436158"/>
    <w:rsid w:val="004365B5"/>
    <w:rsid w:val="004366B5"/>
    <w:rsid w:val="00436ACA"/>
    <w:rsid w:val="004372D8"/>
    <w:rsid w:val="00440C03"/>
    <w:rsid w:val="00440F20"/>
    <w:rsid w:val="00443010"/>
    <w:rsid w:val="004436A0"/>
    <w:rsid w:val="00443B17"/>
    <w:rsid w:val="00446CB0"/>
    <w:rsid w:val="00446DC2"/>
    <w:rsid w:val="004516DF"/>
    <w:rsid w:val="00453447"/>
    <w:rsid w:val="00453BB8"/>
    <w:rsid w:val="00453C3B"/>
    <w:rsid w:val="00454C58"/>
    <w:rsid w:val="00455BB6"/>
    <w:rsid w:val="00456528"/>
    <w:rsid w:val="0045670F"/>
    <w:rsid w:val="00456EE2"/>
    <w:rsid w:val="0045712B"/>
    <w:rsid w:val="00461B4A"/>
    <w:rsid w:val="00461CFF"/>
    <w:rsid w:val="00461E5F"/>
    <w:rsid w:val="00462C43"/>
    <w:rsid w:val="004631F9"/>
    <w:rsid w:val="004633F3"/>
    <w:rsid w:val="00464C0F"/>
    <w:rsid w:val="00464DD7"/>
    <w:rsid w:val="00466452"/>
    <w:rsid w:val="00466EFA"/>
    <w:rsid w:val="00467BAF"/>
    <w:rsid w:val="00470364"/>
    <w:rsid w:val="0047054F"/>
    <w:rsid w:val="00471650"/>
    <w:rsid w:val="004723C6"/>
    <w:rsid w:val="004744B5"/>
    <w:rsid w:val="00475B9E"/>
    <w:rsid w:val="004760F6"/>
    <w:rsid w:val="004779CF"/>
    <w:rsid w:val="00477BD8"/>
    <w:rsid w:val="00480DF8"/>
    <w:rsid w:val="00480FBE"/>
    <w:rsid w:val="004825F1"/>
    <w:rsid w:val="00484DA6"/>
    <w:rsid w:val="00485326"/>
    <w:rsid w:val="004858C8"/>
    <w:rsid w:val="0048783B"/>
    <w:rsid w:val="00491398"/>
    <w:rsid w:val="0049185F"/>
    <w:rsid w:val="00491C6A"/>
    <w:rsid w:val="00493222"/>
    <w:rsid w:val="0049346C"/>
    <w:rsid w:val="00494433"/>
    <w:rsid w:val="00494452"/>
    <w:rsid w:val="00495E63"/>
    <w:rsid w:val="004970D0"/>
    <w:rsid w:val="00497891"/>
    <w:rsid w:val="00497D31"/>
    <w:rsid w:val="004A0555"/>
    <w:rsid w:val="004A073C"/>
    <w:rsid w:val="004A2B9A"/>
    <w:rsid w:val="004A2EC7"/>
    <w:rsid w:val="004A3CD4"/>
    <w:rsid w:val="004A47E8"/>
    <w:rsid w:val="004A5AA6"/>
    <w:rsid w:val="004B22C6"/>
    <w:rsid w:val="004B290D"/>
    <w:rsid w:val="004B3F60"/>
    <w:rsid w:val="004B4168"/>
    <w:rsid w:val="004B5A9C"/>
    <w:rsid w:val="004B5EF3"/>
    <w:rsid w:val="004B69CB"/>
    <w:rsid w:val="004B6E0B"/>
    <w:rsid w:val="004B76EA"/>
    <w:rsid w:val="004B7CD5"/>
    <w:rsid w:val="004C0348"/>
    <w:rsid w:val="004C04BB"/>
    <w:rsid w:val="004C094D"/>
    <w:rsid w:val="004C107C"/>
    <w:rsid w:val="004C1F6E"/>
    <w:rsid w:val="004C2895"/>
    <w:rsid w:val="004C35C5"/>
    <w:rsid w:val="004C39D2"/>
    <w:rsid w:val="004C3AEC"/>
    <w:rsid w:val="004C3E8F"/>
    <w:rsid w:val="004C6782"/>
    <w:rsid w:val="004C6E8C"/>
    <w:rsid w:val="004C7284"/>
    <w:rsid w:val="004D0E90"/>
    <w:rsid w:val="004D1D6B"/>
    <w:rsid w:val="004D1E0F"/>
    <w:rsid w:val="004D31D5"/>
    <w:rsid w:val="004D387D"/>
    <w:rsid w:val="004D3EB1"/>
    <w:rsid w:val="004D4C0E"/>
    <w:rsid w:val="004D5991"/>
    <w:rsid w:val="004D5BD7"/>
    <w:rsid w:val="004D65B5"/>
    <w:rsid w:val="004D73BB"/>
    <w:rsid w:val="004D73F4"/>
    <w:rsid w:val="004D7573"/>
    <w:rsid w:val="004D7895"/>
    <w:rsid w:val="004E0EC2"/>
    <w:rsid w:val="004E10C3"/>
    <w:rsid w:val="004E2308"/>
    <w:rsid w:val="004E2648"/>
    <w:rsid w:val="004E306B"/>
    <w:rsid w:val="004E3DBC"/>
    <w:rsid w:val="004E4238"/>
    <w:rsid w:val="004E4D56"/>
    <w:rsid w:val="004E5351"/>
    <w:rsid w:val="004E5BD0"/>
    <w:rsid w:val="004E6454"/>
    <w:rsid w:val="004E696F"/>
    <w:rsid w:val="004E70A8"/>
    <w:rsid w:val="004E7673"/>
    <w:rsid w:val="004E7FF8"/>
    <w:rsid w:val="004F0968"/>
    <w:rsid w:val="004F1A07"/>
    <w:rsid w:val="004F1B93"/>
    <w:rsid w:val="004F24C6"/>
    <w:rsid w:val="004F3892"/>
    <w:rsid w:val="004F498E"/>
    <w:rsid w:val="004F5468"/>
    <w:rsid w:val="004F696C"/>
    <w:rsid w:val="004F73B2"/>
    <w:rsid w:val="004F74B8"/>
    <w:rsid w:val="004F76C1"/>
    <w:rsid w:val="005000A0"/>
    <w:rsid w:val="00500294"/>
    <w:rsid w:val="00501293"/>
    <w:rsid w:val="00502D49"/>
    <w:rsid w:val="005036A0"/>
    <w:rsid w:val="005043C8"/>
    <w:rsid w:val="00504F0A"/>
    <w:rsid w:val="0050595D"/>
    <w:rsid w:val="00506983"/>
    <w:rsid w:val="00506A6A"/>
    <w:rsid w:val="00506DC7"/>
    <w:rsid w:val="00506F56"/>
    <w:rsid w:val="00510802"/>
    <w:rsid w:val="005109B3"/>
    <w:rsid w:val="005128C4"/>
    <w:rsid w:val="00512C4B"/>
    <w:rsid w:val="005132B8"/>
    <w:rsid w:val="005132F3"/>
    <w:rsid w:val="00513C40"/>
    <w:rsid w:val="0051455F"/>
    <w:rsid w:val="005149AB"/>
    <w:rsid w:val="005150E7"/>
    <w:rsid w:val="00516240"/>
    <w:rsid w:val="00516822"/>
    <w:rsid w:val="0051682D"/>
    <w:rsid w:val="00517C2B"/>
    <w:rsid w:val="00517EAF"/>
    <w:rsid w:val="005207E8"/>
    <w:rsid w:val="00520E6C"/>
    <w:rsid w:val="005221E3"/>
    <w:rsid w:val="00523A87"/>
    <w:rsid w:val="0052401E"/>
    <w:rsid w:val="005245B4"/>
    <w:rsid w:val="00524C0C"/>
    <w:rsid w:val="00525E49"/>
    <w:rsid w:val="005260A9"/>
    <w:rsid w:val="005270D1"/>
    <w:rsid w:val="00532013"/>
    <w:rsid w:val="00533194"/>
    <w:rsid w:val="005359DF"/>
    <w:rsid w:val="00535EFB"/>
    <w:rsid w:val="005367B1"/>
    <w:rsid w:val="005369B1"/>
    <w:rsid w:val="00537802"/>
    <w:rsid w:val="00537CBB"/>
    <w:rsid w:val="00540491"/>
    <w:rsid w:val="005417E7"/>
    <w:rsid w:val="005421EE"/>
    <w:rsid w:val="005426B2"/>
    <w:rsid w:val="005427C4"/>
    <w:rsid w:val="00542CDD"/>
    <w:rsid w:val="0054409A"/>
    <w:rsid w:val="00544B5F"/>
    <w:rsid w:val="005451AC"/>
    <w:rsid w:val="00545629"/>
    <w:rsid w:val="0054653C"/>
    <w:rsid w:val="005474AE"/>
    <w:rsid w:val="005501DD"/>
    <w:rsid w:val="00551922"/>
    <w:rsid w:val="00554BCD"/>
    <w:rsid w:val="00555DD4"/>
    <w:rsid w:val="00555E7B"/>
    <w:rsid w:val="00556534"/>
    <w:rsid w:val="0055692F"/>
    <w:rsid w:val="005577F8"/>
    <w:rsid w:val="00560E1E"/>
    <w:rsid w:val="0056189C"/>
    <w:rsid w:val="00561C01"/>
    <w:rsid w:val="00562005"/>
    <w:rsid w:val="0056267E"/>
    <w:rsid w:val="00562C1B"/>
    <w:rsid w:val="00565B0B"/>
    <w:rsid w:val="00565F98"/>
    <w:rsid w:val="00566759"/>
    <w:rsid w:val="00566C71"/>
    <w:rsid w:val="00567190"/>
    <w:rsid w:val="00567B6B"/>
    <w:rsid w:val="00571AC8"/>
    <w:rsid w:val="00572511"/>
    <w:rsid w:val="00573142"/>
    <w:rsid w:val="00573280"/>
    <w:rsid w:val="005741E1"/>
    <w:rsid w:val="00576480"/>
    <w:rsid w:val="005769AC"/>
    <w:rsid w:val="00577A4F"/>
    <w:rsid w:val="005800E9"/>
    <w:rsid w:val="00580D16"/>
    <w:rsid w:val="005813AB"/>
    <w:rsid w:val="0058345B"/>
    <w:rsid w:val="005841BC"/>
    <w:rsid w:val="005841D9"/>
    <w:rsid w:val="00584E93"/>
    <w:rsid w:val="00586463"/>
    <w:rsid w:val="00587000"/>
    <w:rsid w:val="00587719"/>
    <w:rsid w:val="00587EAF"/>
    <w:rsid w:val="0059025D"/>
    <w:rsid w:val="00591527"/>
    <w:rsid w:val="005923C8"/>
    <w:rsid w:val="00592D82"/>
    <w:rsid w:val="00593227"/>
    <w:rsid w:val="0059517B"/>
    <w:rsid w:val="00595883"/>
    <w:rsid w:val="00595CB7"/>
    <w:rsid w:val="00596114"/>
    <w:rsid w:val="005A15E5"/>
    <w:rsid w:val="005A18AC"/>
    <w:rsid w:val="005A1B54"/>
    <w:rsid w:val="005A1F5D"/>
    <w:rsid w:val="005A2106"/>
    <w:rsid w:val="005A2458"/>
    <w:rsid w:val="005A3C20"/>
    <w:rsid w:val="005A4237"/>
    <w:rsid w:val="005A4A16"/>
    <w:rsid w:val="005A4CCF"/>
    <w:rsid w:val="005A4E1D"/>
    <w:rsid w:val="005A691C"/>
    <w:rsid w:val="005A739D"/>
    <w:rsid w:val="005A7806"/>
    <w:rsid w:val="005B07DD"/>
    <w:rsid w:val="005B0CAB"/>
    <w:rsid w:val="005B0EB1"/>
    <w:rsid w:val="005B139B"/>
    <w:rsid w:val="005B216B"/>
    <w:rsid w:val="005B259A"/>
    <w:rsid w:val="005B32DF"/>
    <w:rsid w:val="005B3734"/>
    <w:rsid w:val="005B41F3"/>
    <w:rsid w:val="005B511F"/>
    <w:rsid w:val="005B6325"/>
    <w:rsid w:val="005B68CC"/>
    <w:rsid w:val="005B7169"/>
    <w:rsid w:val="005B71E3"/>
    <w:rsid w:val="005B752F"/>
    <w:rsid w:val="005B76A9"/>
    <w:rsid w:val="005B770F"/>
    <w:rsid w:val="005C09FF"/>
    <w:rsid w:val="005C3A51"/>
    <w:rsid w:val="005C416E"/>
    <w:rsid w:val="005C4566"/>
    <w:rsid w:val="005C4576"/>
    <w:rsid w:val="005C4D73"/>
    <w:rsid w:val="005C6721"/>
    <w:rsid w:val="005C7383"/>
    <w:rsid w:val="005D016C"/>
    <w:rsid w:val="005D3899"/>
    <w:rsid w:val="005D3D9A"/>
    <w:rsid w:val="005D3DF0"/>
    <w:rsid w:val="005D4F11"/>
    <w:rsid w:val="005D592D"/>
    <w:rsid w:val="005D655F"/>
    <w:rsid w:val="005D6AC1"/>
    <w:rsid w:val="005D7013"/>
    <w:rsid w:val="005D73BE"/>
    <w:rsid w:val="005D78DC"/>
    <w:rsid w:val="005E03BE"/>
    <w:rsid w:val="005E03D0"/>
    <w:rsid w:val="005E20DE"/>
    <w:rsid w:val="005E2829"/>
    <w:rsid w:val="005E29AC"/>
    <w:rsid w:val="005E2DCB"/>
    <w:rsid w:val="005E373C"/>
    <w:rsid w:val="005E4374"/>
    <w:rsid w:val="005E45FA"/>
    <w:rsid w:val="005E4C4C"/>
    <w:rsid w:val="005E512B"/>
    <w:rsid w:val="005E53BB"/>
    <w:rsid w:val="005E541D"/>
    <w:rsid w:val="005E7A21"/>
    <w:rsid w:val="005E7EB5"/>
    <w:rsid w:val="005F02D4"/>
    <w:rsid w:val="005F055D"/>
    <w:rsid w:val="005F06EE"/>
    <w:rsid w:val="005F0F8F"/>
    <w:rsid w:val="005F2D48"/>
    <w:rsid w:val="005F4D7F"/>
    <w:rsid w:val="005F4F6C"/>
    <w:rsid w:val="005F517E"/>
    <w:rsid w:val="005F5C5C"/>
    <w:rsid w:val="005F6507"/>
    <w:rsid w:val="005F6F89"/>
    <w:rsid w:val="0060421A"/>
    <w:rsid w:val="00604642"/>
    <w:rsid w:val="0060616A"/>
    <w:rsid w:val="00606B7D"/>
    <w:rsid w:val="00607D6C"/>
    <w:rsid w:val="006102DB"/>
    <w:rsid w:val="00611505"/>
    <w:rsid w:val="0061179A"/>
    <w:rsid w:val="00612F5B"/>
    <w:rsid w:val="006139EA"/>
    <w:rsid w:val="00613A59"/>
    <w:rsid w:val="00614F1B"/>
    <w:rsid w:val="0061600E"/>
    <w:rsid w:val="00616E2D"/>
    <w:rsid w:val="006211D4"/>
    <w:rsid w:val="006213C1"/>
    <w:rsid w:val="00623942"/>
    <w:rsid w:val="006243B0"/>
    <w:rsid w:val="00624F08"/>
    <w:rsid w:val="0062509C"/>
    <w:rsid w:val="006266DA"/>
    <w:rsid w:val="00626C48"/>
    <w:rsid w:val="00630569"/>
    <w:rsid w:val="00630F43"/>
    <w:rsid w:val="00631CE7"/>
    <w:rsid w:val="006320C8"/>
    <w:rsid w:val="00632F3B"/>
    <w:rsid w:val="00634DC8"/>
    <w:rsid w:val="00635E2D"/>
    <w:rsid w:val="00637487"/>
    <w:rsid w:val="00637F9C"/>
    <w:rsid w:val="00640B98"/>
    <w:rsid w:val="00640C99"/>
    <w:rsid w:val="00641488"/>
    <w:rsid w:val="00641657"/>
    <w:rsid w:val="0064248C"/>
    <w:rsid w:val="00643857"/>
    <w:rsid w:val="006444F2"/>
    <w:rsid w:val="006461B8"/>
    <w:rsid w:val="00650084"/>
    <w:rsid w:val="00651AAC"/>
    <w:rsid w:val="0065253F"/>
    <w:rsid w:val="00653B22"/>
    <w:rsid w:val="00654E31"/>
    <w:rsid w:val="006556FE"/>
    <w:rsid w:val="006559C9"/>
    <w:rsid w:val="00656280"/>
    <w:rsid w:val="00656AA9"/>
    <w:rsid w:val="00656AD5"/>
    <w:rsid w:val="00656DDF"/>
    <w:rsid w:val="00657A13"/>
    <w:rsid w:val="00661D00"/>
    <w:rsid w:val="00663476"/>
    <w:rsid w:val="00664572"/>
    <w:rsid w:val="006648E8"/>
    <w:rsid w:val="006653C5"/>
    <w:rsid w:val="00666701"/>
    <w:rsid w:val="00666B2A"/>
    <w:rsid w:val="00666F86"/>
    <w:rsid w:val="0066708C"/>
    <w:rsid w:val="0067100E"/>
    <w:rsid w:val="00671644"/>
    <w:rsid w:val="00671D37"/>
    <w:rsid w:val="00672D53"/>
    <w:rsid w:val="0067599C"/>
    <w:rsid w:val="00676B11"/>
    <w:rsid w:val="00677B67"/>
    <w:rsid w:val="00677F6D"/>
    <w:rsid w:val="0068047F"/>
    <w:rsid w:val="0068168A"/>
    <w:rsid w:val="0068187A"/>
    <w:rsid w:val="0068195D"/>
    <w:rsid w:val="00681FBC"/>
    <w:rsid w:val="00682EE0"/>
    <w:rsid w:val="006837EC"/>
    <w:rsid w:val="00683CFF"/>
    <w:rsid w:val="00683E66"/>
    <w:rsid w:val="00684644"/>
    <w:rsid w:val="00685339"/>
    <w:rsid w:val="006858DE"/>
    <w:rsid w:val="00685C58"/>
    <w:rsid w:val="00686A5C"/>
    <w:rsid w:val="00686B6D"/>
    <w:rsid w:val="00687315"/>
    <w:rsid w:val="00687534"/>
    <w:rsid w:val="00687C17"/>
    <w:rsid w:val="006909EC"/>
    <w:rsid w:val="0069132A"/>
    <w:rsid w:val="00691377"/>
    <w:rsid w:val="00691CF0"/>
    <w:rsid w:val="00691F21"/>
    <w:rsid w:val="00691F78"/>
    <w:rsid w:val="006928E9"/>
    <w:rsid w:val="00692C81"/>
    <w:rsid w:val="006936BD"/>
    <w:rsid w:val="00695776"/>
    <w:rsid w:val="00695D25"/>
    <w:rsid w:val="006A039C"/>
    <w:rsid w:val="006A09AA"/>
    <w:rsid w:val="006B0D82"/>
    <w:rsid w:val="006B0F33"/>
    <w:rsid w:val="006B102C"/>
    <w:rsid w:val="006B1D1C"/>
    <w:rsid w:val="006B3988"/>
    <w:rsid w:val="006B4654"/>
    <w:rsid w:val="006B4839"/>
    <w:rsid w:val="006B4FCE"/>
    <w:rsid w:val="006B521F"/>
    <w:rsid w:val="006B6FD3"/>
    <w:rsid w:val="006B7CE6"/>
    <w:rsid w:val="006C0F5E"/>
    <w:rsid w:val="006C2315"/>
    <w:rsid w:val="006C2374"/>
    <w:rsid w:val="006C2B11"/>
    <w:rsid w:val="006C54D7"/>
    <w:rsid w:val="006C5706"/>
    <w:rsid w:val="006C5EC2"/>
    <w:rsid w:val="006C67C3"/>
    <w:rsid w:val="006C7223"/>
    <w:rsid w:val="006C750A"/>
    <w:rsid w:val="006C7BB7"/>
    <w:rsid w:val="006C7CE5"/>
    <w:rsid w:val="006D023B"/>
    <w:rsid w:val="006D04A3"/>
    <w:rsid w:val="006D0602"/>
    <w:rsid w:val="006D3CD5"/>
    <w:rsid w:val="006D4975"/>
    <w:rsid w:val="006D5195"/>
    <w:rsid w:val="006D5D54"/>
    <w:rsid w:val="006D6642"/>
    <w:rsid w:val="006D75C3"/>
    <w:rsid w:val="006E062F"/>
    <w:rsid w:val="006E08C5"/>
    <w:rsid w:val="006E08D0"/>
    <w:rsid w:val="006E0924"/>
    <w:rsid w:val="006E27F3"/>
    <w:rsid w:val="006E29DD"/>
    <w:rsid w:val="006E3071"/>
    <w:rsid w:val="006E4837"/>
    <w:rsid w:val="006E55C9"/>
    <w:rsid w:val="006E6EE3"/>
    <w:rsid w:val="006E7143"/>
    <w:rsid w:val="006E7576"/>
    <w:rsid w:val="006F120A"/>
    <w:rsid w:val="006F218C"/>
    <w:rsid w:val="006F3019"/>
    <w:rsid w:val="006F660E"/>
    <w:rsid w:val="006F7ED1"/>
    <w:rsid w:val="006F7F95"/>
    <w:rsid w:val="00700096"/>
    <w:rsid w:val="007005A1"/>
    <w:rsid w:val="007012DF"/>
    <w:rsid w:val="00701AA2"/>
    <w:rsid w:val="0070312B"/>
    <w:rsid w:val="00703ECC"/>
    <w:rsid w:val="00704B6F"/>
    <w:rsid w:val="007059D8"/>
    <w:rsid w:val="0070731E"/>
    <w:rsid w:val="007101CA"/>
    <w:rsid w:val="00711034"/>
    <w:rsid w:val="00711F65"/>
    <w:rsid w:val="00711F9E"/>
    <w:rsid w:val="007132D1"/>
    <w:rsid w:val="00713518"/>
    <w:rsid w:val="00713624"/>
    <w:rsid w:val="007146F2"/>
    <w:rsid w:val="00714854"/>
    <w:rsid w:val="007153C2"/>
    <w:rsid w:val="00715898"/>
    <w:rsid w:val="00716FE3"/>
    <w:rsid w:val="00717885"/>
    <w:rsid w:val="0072054F"/>
    <w:rsid w:val="0072094A"/>
    <w:rsid w:val="00721BCB"/>
    <w:rsid w:val="00721E2D"/>
    <w:rsid w:val="00722029"/>
    <w:rsid w:val="00722FB2"/>
    <w:rsid w:val="00725109"/>
    <w:rsid w:val="007308E5"/>
    <w:rsid w:val="007322C9"/>
    <w:rsid w:val="00733ACE"/>
    <w:rsid w:val="00733B78"/>
    <w:rsid w:val="00733E1F"/>
    <w:rsid w:val="007347B0"/>
    <w:rsid w:val="00736CCC"/>
    <w:rsid w:val="00737BBE"/>
    <w:rsid w:val="00737DF5"/>
    <w:rsid w:val="00740414"/>
    <w:rsid w:val="0074184D"/>
    <w:rsid w:val="0074313C"/>
    <w:rsid w:val="0074333D"/>
    <w:rsid w:val="00743959"/>
    <w:rsid w:val="007449B3"/>
    <w:rsid w:val="00744B1A"/>
    <w:rsid w:val="007456A9"/>
    <w:rsid w:val="0074576E"/>
    <w:rsid w:val="00747B23"/>
    <w:rsid w:val="007508C2"/>
    <w:rsid w:val="0075202A"/>
    <w:rsid w:val="00752AC1"/>
    <w:rsid w:val="00752AD2"/>
    <w:rsid w:val="007533FB"/>
    <w:rsid w:val="00755D18"/>
    <w:rsid w:val="00756012"/>
    <w:rsid w:val="0075739D"/>
    <w:rsid w:val="00757FD1"/>
    <w:rsid w:val="00761038"/>
    <w:rsid w:val="007611BB"/>
    <w:rsid w:val="00761A73"/>
    <w:rsid w:val="00762D6F"/>
    <w:rsid w:val="0076345E"/>
    <w:rsid w:val="00763619"/>
    <w:rsid w:val="007649C6"/>
    <w:rsid w:val="00764B4D"/>
    <w:rsid w:val="00765BD6"/>
    <w:rsid w:val="00765C06"/>
    <w:rsid w:val="00766011"/>
    <w:rsid w:val="00766087"/>
    <w:rsid w:val="00766379"/>
    <w:rsid w:val="00766755"/>
    <w:rsid w:val="00767498"/>
    <w:rsid w:val="00767590"/>
    <w:rsid w:val="007700FD"/>
    <w:rsid w:val="00770621"/>
    <w:rsid w:val="00770747"/>
    <w:rsid w:val="00770F9A"/>
    <w:rsid w:val="00771BAC"/>
    <w:rsid w:val="0077255E"/>
    <w:rsid w:val="007739D0"/>
    <w:rsid w:val="00773E7C"/>
    <w:rsid w:val="00774E5B"/>
    <w:rsid w:val="007763D4"/>
    <w:rsid w:val="0077653B"/>
    <w:rsid w:val="007773F6"/>
    <w:rsid w:val="007801C2"/>
    <w:rsid w:val="007806F1"/>
    <w:rsid w:val="00781A5C"/>
    <w:rsid w:val="00782659"/>
    <w:rsid w:val="007842BA"/>
    <w:rsid w:val="0078603B"/>
    <w:rsid w:val="00786BB6"/>
    <w:rsid w:val="00786F3F"/>
    <w:rsid w:val="00792B5B"/>
    <w:rsid w:val="00795555"/>
    <w:rsid w:val="0079678F"/>
    <w:rsid w:val="007974DA"/>
    <w:rsid w:val="00797F1C"/>
    <w:rsid w:val="007A08CD"/>
    <w:rsid w:val="007A1307"/>
    <w:rsid w:val="007A1525"/>
    <w:rsid w:val="007A153E"/>
    <w:rsid w:val="007A27BF"/>
    <w:rsid w:val="007A53D3"/>
    <w:rsid w:val="007A54B0"/>
    <w:rsid w:val="007A5D44"/>
    <w:rsid w:val="007B0480"/>
    <w:rsid w:val="007B11F2"/>
    <w:rsid w:val="007B144F"/>
    <w:rsid w:val="007B22B8"/>
    <w:rsid w:val="007B2C9A"/>
    <w:rsid w:val="007B2E89"/>
    <w:rsid w:val="007B3FF2"/>
    <w:rsid w:val="007B4491"/>
    <w:rsid w:val="007B4CA4"/>
    <w:rsid w:val="007B5238"/>
    <w:rsid w:val="007B5903"/>
    <w:rsid w:val="007B6432"/>
    <w:rsid w:val="007B65D4"/>
    <w:rsid w:val="007B6DC2"/>
    <w:rsid w:val="007B77E9"/>
    <w:rsid w:val="007B7993"/>
    <w:rsid w:val="007C0950"/>
    <w:rsid w:val="007C10AA"/>
    <w:rsid w:val="007C160E"/>
    <w:rsid w:val="007C1813"/>
    <w:rsid w:val="007C37C8"/>
    <w:rsid w:val="007C486D"/>
    <w:rsid w:val="007C4D84"/>
    <w:rsid w:val="007C4F60"/>
    <w:rsid w:val="007C5BF3"/>
    <w:rsid w:val="007C5CE2"/>
    <w:rsid w:val="007C62B2"/>
    <w:rsid w:val="007C658E"/>
    <w:rsid w:val="007D0832"/>
    <w:rsid w:val="007D10ED"/>
    <w:rsid w:val="007D1EF4"/>
    <w:rsid w:val="007D34A0"/>
    <w:rsid w:val="007D3AE7"/>
    <w:rsid w:val="007D3CD2"/>
    <w:rsid w:val="007D48AF"/>
    <w:rsid w:val="007D4C1C"/>
    <w:rsid w:val="007D551D"/>
    <w:rsid w:val="007D5701"/>
    <w:rsid w:val="007D5B15"/>
    <w:rsid w:val="007D5C43"/>
    <w:rsid w:val="007D5F2E"/>
    <w:rsid w:val="007D762A"/>
    <w:rsid w:val="007E05BC"/>
    <w:rsid w:val="007E0F4A"/>
    <w:rsid w:val="007E10E1"/>
    <w:rsid w:val="007E13AE"/>
    <w:rsid w:val="007E157E"/>
    <w:rsid w:val="007E220D"/>
    <w:rsid w:val="007E35A5"/>
    <w:rsid w:val="007E5041"/>
    <w:rsid w:val="007E63B4"/>
    <w:rsid w:val="007E771D"/>
    <w:rsid w:val="007F0941"/>
    <w:rsid w:val="007F0B98"/>
    <w:rsid w:val="007F128A"/>
    <w:rsid w:val="007F12CC"/>
    <w:rsid w:val="007F28FF"/>
    <w:rsid w:val="007F299E"/>
    <w:rsid w:val="007F3FCA"/>
    <w:rsid w:val="007F5F1C"/>
    <w:rsid w:val="007F64F6"/>
    <w:rsid w:val="007F67D6"/>
    <w:rsid w:val="007F7090"/>
    <w:rsid w:val="007F716D"/>
    <w:rsid w:val="007F73D9"/>
    <w:rsid w:val="007F7743"/>
    <w:rsid w:val="007F7CB4"/>
    <w:rsid w:val="008002A4"/>
    <w:rsid w:val="008006E6"/>
    <w:rsid w:val="00804EC0"/>
    <w:rsid w:val="0080555F"/>
    <w:rsid w:val="00805C44"/>
    <w:rsid w:val="00805E44"/>
    <w:rsid w:val="00807A73"/>
    <w:rsid w:val="00807EB0"/>
    <w:rsid w:val="00810391"/>
    <w:rsid w:val="008111C5"/>
    <w:rsid w:val="00813518"/>
    <w:rsid w:val="00813A3A"/>
    <w:rsid w:val="00814221"/>
    <w:rsid w:val="008142D1"/>
    <w:rsid w:val="00814753"/>
    <w:rsid w:val="008148D5"/>
    <w:rsid w:val="00816889"/>
    <w:rsid w:val="00822758"/>
    <w:rsid w:val="00822C26"/>
    <w:rsid w:val="008247CB"/>
    <w:rsid w:val="00824C74"/>
    <w:rsid w:val="00824D0F"/>
    <w:rsid w:val="00824EF3"/>
    <w:rsid w:val="00825866"/>
    <w:rsid w:val="00825BD5"/>
    <w:rsid w:val="00825E4C"/>
    <w:rsid w:val="0082636E"/>
    <w:rsid w:val="00826397"/>
    <w:rsid w:val="008263C9"/>
    <w:rsid w:val="008275A8"/>
    <w:rsid w:val="0083024E"/>
    <w:rsid w:val="00830494"/>
    <w:rsid w:val="00830666"/>
    <w:rsid w:val="008328A6"/>
    <w:rsid w:val="008331BC"/>
    <w:rsid w:val="00833DAF"/>
    <w:rsid w:val="00834850"/>
    <w:rsid w:val="00834D4E"/>
    <w:rsid w:val="00835671"/>
    <w:rsid w:val="00837A78"/>
    <w:rsid w:val="00837D1D"/>
    <w:rsid w:val="00840347"/>
    <w:rsid w:val="00840A88"/>
    <w:rsid w:val="00840F08"/>
    <w:rsid w:val="00841DAB"/>
    <w:rsid w:val="00841E1F"/>
    <w:rsid w:val="00841E44"/>
    <w:rsid w:val="00842789"/>
    <w:rsid w:val="008429DB"/>
    <w:rsid w:val="0084417D"/>
    <w:rsid w:val="00844667"/>
    <w:rsid w:val="008451CC"/>
    <w:rsid w:val="00845A70"/>
    <w:rsid w:val="00845B8F"/>
    <w:rsid w:val="00847207"/>
    <w:rsid w:val="008473C7"/>
    <w:rsid w:val="00850595"/>
    <w:rsid w:val="0085216E"/>
    <w:rsid w:val="008522B5"/>
    <w:rsid w:val="008532AC"/>
    <w:rsid w:val="00854247"/>
    <w:rsid w:val="0085548B"/>
    <w:rsid w:val="00855C0F"/>
    <w:rsid w:val="008562CD"/>
    <w:rsid w:val="00856514"/>
    <w:rsid w:val="008570CC"/>
    <w:rsid w:val="00860DC2"/>
    <w:rsid w:val="008612AD"/>
    <w:rsid w:val="00862380"/>
    <w:rsid w:val="00862531"/>
    <w:rsid w:val="0086273E"/>
    <w:rsid w:val="00863D6E"/>
    <w:rsid w:val="008641C0"/>
    <w:rsid w:val="00864EDA"/>
    <w:rsid w:val="008658C5"/>
    <w:rsid w:val="00866170"/>
    <w:rsid w:val="00867F39"/>
    <w:rsid w:val="008704A1"/>
    <w:rsid w:val="0087069A"/>
    <w:rsid w:val="00871EC2"/>
    <w:rsid w:val="008722E7"/>
    <w:rsid w:val="00873741"/>
    <w:rsid w:val="0087416D"/>
    <w:rsid w:val="00874C93"/>
    <w:rsid w:val="008753D0"/>
    <w:rsid w:val="00875E97"/>
    <w:rsid w:val="008760B8"/>
    <w:rsid w:val="00876590"/>
    <w:rsid w:val="0087677E"/>
    <w:rsid w:val="008767F9"/>
    <w:rsid w:val="00877E94"/>
    <w:rsid w:val="00881798"/>
    <w:rsid w:val="00882372"/>
    <w:rsid w:val="00882BF1"/>
    <w:rsid w:val="00884DA4"/>
    <w:rsid w:val="008861F5"/>
    <w:rsid w:val="0088633E"/>
    <w:rsid w:val="00886793"/>
    <w:rsid w:val="00886B99"/>
    <w:rsid w:val="00886D77"/>
    <w:rsid w:val="008904A5"/>
    <w:rsid w:val="008918EA"/>
    <w:rsid w:val="008935B1"/>
    <w:rsid w:val="00894DA3"/>
    <w:rsid w:val="00896EB9"/>
    <w:rsid w:val="00896F5C"/>
    <w:rsid w:val="008A073A"/>
    <w:rsid w:val="008A0825"/>
    <w:rsid w:val="008A591F"/>
    <w:rsid w:val="008A6B7C"/>
    <w:rsid w:val="008A732E"/>
    <w:rsid w:val="008A7AF9"/>
    <w:rsid w:val="008A7B60"/>
    <w:rsid w:val="008B00FF"/>
    <w:rsid w:val="008B0A01"/>
    <w:rsid w:val="008B0D68"/>
    <w:rsid w:val="008B220A"/>
    <w:rsid w:val="008B2D8E"/>
    <w:rsid w:val="008B346F"/>
    <w:rsid w:val="008B41E0"/>
    <w:rsid w:val="008B479F"/>
    <w:rsid w:val="008B50B3"/>
    <w:rsid w:val="008B5B75"/>
    <w:rsid w:val="008B6295"/>
    <w:rsid w:val="008B7468"/>
    <w:rsid w:val="008C250C"/>
    <w:rsid w:val="008C2587"/>
    <w:rsid w:val="008C2759"/>
    <w:rsid w:val="008C2C25"/>
    <w:rsid w:val="008C3EAB"/>
    <w:rsid w:val="008C401E"/>
    <w:rsid w:val="008C6C30"/>
    <w:rsid w:val="008C7395"/>
    <w:rsid w:val="008D139A"/>
    <w:rsid w:val="008D3E3B"/>
    <w:rsid w:val="008D4992"/>
    <w:rsid w:val="008D51AC"/>
    <w:rsid w:val="008D586C"/>
    <w:rsid w:val="008D5B6F"/>
    <w:rsid w:val="008D5C7C"/>
    <w:rsid w:val="008D6D54"/>
    <w:rsid w:val="008D7A2A"/>
    <w:rsid w:val="008E05B3"/>
    <w:rsid w:val="008E2303"/>
    <w:rsid w:val="008E3481"/>
    <w:rsid w:val="008E3590"/>
    <w:rsid w:val="008E3FCB"/>
    <w:rsid w:val="008E4068"/>
    <w:rsid w:val="008E4983"/>
    <w:rsid w:val="008E5914"/>
    <w:rsid w:val="008E657B"/>
    <w:rsid w:val="008E7080"/>
    <w:rsid w:val="008F01CD"/>
    <w:rsid w:val="008F21EA"/>
    <w:rsid w:val="008F29E6"/>
    <w:rsid w:val="008F32A5"/>
    <w:rsid w:val="008F36C7"/>
    <w:rsid w:val="008F415D"/>
    <w:rsid w:val="008F43F1"/>
    <w:rsid w:val="008F480E"/>
    <w:rsid w:val="008F6028"/>
    <w:rsid w:val="008F6B16"/>
    <w:rsid w:val="008F7E66"/>
    <w:rsid w:val="008F7F55"/>
    <w:rsid w:val="009000AE"/>
    <w:rsid w:val="00901935"/>
    <w:rsid w:val="00901A50"/>
    <w:rsid w:val="009023E5"/>
    <w:rsid w:val="00904405"/>
    <w:rsid w:val="00905F58"/>
    <w:rsid w:val="00906545"/>
    <w:rsid w:val="00907AEB"/>
    <w:rsid w:val="009115AC"/>
    <w:rsid w:val="0091229D"/>
    <w:rsid w:val="00912EF5"/>
    <w:rsid w:val="00913F0B"/>
    <w:rsid w:val="00914200"/>
    <w:rsid w:val="00914990"/>
    <w:rsid w:val="00914D18"/>
    <w:rsid w:val="00915D1A"/>
    <w:rsid w:val="00916710"/>
    <w:rsid w:val="009170FB"/>
    <w:rsid w:val="0092163A"/>
    <w:rsid w:val="00921EBD"/>
    <w:rsid w:val="00922403"/>
    <w:rsid w:val="00922F02"/>
    <w:rsid w:val="009236C3"/>
    <w:rsid w:val="00924B68"/>
    <w:rsid w:val="00924F86"/>
    <w:rsid w:val="00925080"/>
    <w:rsid w:val="009276A4"/>
    <w:rsid w:val="00930563"/>
    <w:rsid w:val="00930E6C"/>
    <w:rsid w:val="00930EB4"/>
    <w:rsid w:val="009323D4"/>
    <w:rsid w:val="009333F0"/>
    <w:rsid w:val="0093340B"/>
    <w:rsid w:val="009349F8"/>
    <w:rsid w:val="00934BE9"/>
    <w:rsid w:val="00934C85"/>
    <w:rsid w:val="00935154"/>
    <w:rsid w:val="009358E8"/>
    <w:rsid w:val="00935976"/>
    <w:rsid w:val="009359A6"/>
    <w:rsid w:val="009376D3"/>
    <w:rsid w:val="00937A3D"/>
    <w:rsid w:val="009412C0"/>
    <w:rsid w:val="009421A1"/>
    <w:rsid w:val="00942361"/>
    <w:rsid w:val="0094298B"/>
    <w:rsid w:val="009429CB"/>
    <w:rsid w:val="0094330B"/>
    <w:rsid w:val="00943E66"/>
    <w:rsid w:val="00944F2D"/>
    <w:rsid w:val="00945E71"/>
    <w:rsid w:val="00946915"/>
    <w:rsid w:val="00947F1C"/>
    <w:rsid w:val="00947FDE"/>
    <w:rsid w:val="0095043E"/>
    <w:rsid w:val="0095092F"/>
    <w:rsid w:val="0095186B"/>
    <w:rsid w:val="00954226"/>
    <w:rsid w:val="0095531B"/>
    <w:rsid w:val="00955563"/>
    <w:rsid w:val="00956966"/>
    <w:rsid w:val="0095696E"/>
    <w:rsid w:val="0095711E"/>
    <w:rsid w:val="009575A0"/>
    <w:rsid w:val="0096174A"/>
    <w:rsid w:val="00962DB8"/>
    <w:rsid w:val="00962FF3"/>
    <w:rsid w:val="00964210"/>
    <w:rsid w:val="009653F4"/>
    <w:rsid w:val="00966600"/>
    <w:rsid w:val="00966B77"/>
    <w:rsid w:val="00967796"/>
    <w:rsid w:val="00967BCF"/>
    <w:rsid w:val="009701CC"/>
    <w:rsid w:val="009720A4"/>
    <w:rsid w:val="0097210C"/>
    <w:rsid w:val="00973BB2"/>
    <w:rsid w:val="009753E5"/>
    <w:rsid w:val="00980B4C"/>
    <w:rsid w:val="0098232F"/>
    <w:rsid w:val="00983564"/>
    <w:rsid w:val="009844B8"/>
    <w:rsid w:val="0098502C"/>
    <w:rsid w:val="00985BF5"/>
    <w:rsid w:val="009879D6"/>
    <w:rsid w:val="00990A60"/>
    <w:rsid w:val="00990B74"/>
    <w:rsid w:val="00991B67"/>
    <w:rsid w:val="00993B56"/>
    <w:rsid w:val="00995F79"/>
    <w:rsid w:val="009A02D9"/>
    <w:rsid w:val="009A197E"/>
    <w:rsid w:val="009A1C9E"/>
    <w:rsid w:val="009A2420"/>
    <w:rsid w:val="009A29CD"/>
    <w:rsid w:val="009A4EEB"/>
    <w:rsid w:val="009A4FF2"/>
    <w:rsid w:val="009A54CD"/>
    <w:rsid w:val="009A5657"/>
    <w:rsid w:val="009A5700"/>
    <w:rsid w:val="009A5E9D"/>
    <w:rsid w:val="009A7D03"/>
    <w:rsid w:val="009B02B8"/>
    <w:rsid w:val="009B07FF"/>
    <w:rsid w:val="009B129C"/>
    <w:rsid w:val="009B2077"/>
    <w:rsid w:val="009B26E0"/>
    <w:rsid w:val="009B2AA1"/>
    <w:rsid w:val="009B2E24"/>
    <w:rsid w:val="009B3493"/>
    <w:rsid w:val="009B36F3"/>
    <w:rsid w:val="009B3815"/>
    <w:rsid w:val="009B4CEC"/>
    <w:rsid w:val="009B4EA0"/>
    <w:rsid w:val="009B5EF9"/>
    <w:rsid w:val="009B5FA7"/>
    <w:rsid w:val="009B7898"/>
    <w:rsid w:val="009C0146"/>
    <w:rsid w:val="009C019E"/>
    <w:rsid w:val="009C0F0D"/>
    <w:rsid w:val="009C0F45"/>
    <w:rsid w:val="009C1041"/>
    <w:rsid w:val="009C1650"/>
    <w:rsid w:val="009C169F"/>
    <w:rsid w:val="009C22CF"/>
    <w:rsid w:val="009C3947"/>
    <w:rsid w:val="009C5662"/>
    <w:rsid w:val="009C6581"/>
    <w:rsid w:val="009C6F0F"/>
    <w:rsid w:val="009D02A9"/>
    <w:rsid w:val="009D044F"/>
    <w:rsid w:val="009D0A51"/>
    <w:rsid w:val="009D0D66"/>
    <w:rsid w:val="009D1E02"/>
    <w:rsid w:val="009D2137"/>
    <w:rsid w:val="009D226A"/>
    <w:rsid w:val="009D4295"/>
    <w:rsid w:val="009D5462"/>
    <w:rsid w:val="009D60B0"/>
    <w:rsid w:val="009D676B"/>
    <w:rsid w:val="009D6B88"/>
    <w:rsid w:val="009E3EB6"/>
    <w:rsid w:val="009E6059"/>
    <w:rsid w:val="009E6AFC"/>
    <w:rsid w:val="009E6EBA"/>
    <w:rsid w:val="009F1312"/>
    <w:rsid w:val="009F1E00"/>
    <w:rsid w:val="009F2AEA"/>
    <w:rsid w:val="009F3400"/>
    <w:rsid w:val="009F3A1B"/>
    <w:rsid w:val="009F3B4E"/>
    <w:rsid w:val="009F40A0"/>
    <w:rsid w:val="009F49ED"/>
    <w:rsid w:val="009F542F"/>
    <w:rsid w:val="009F55F3"/>
    <w:rsid w:val="009F5891"/>
    <w:rsid w:val="009F6912"/>
    <w:rsid w:val="009F6D33"/>
    <w:rsid w:val="00A00430"/>
    <w:rsid w:val="00A02F30"/>
    <w:rsid w:val="00A0339E"/>
    <w:rsid w:val="00A038F3"/>
    <w:rsid w:val="00A044E1"/>
    <w:rsid w:val="00A04781"/>
    <w:rsid w:val="00A06816"/>
    <w:rsid w:val="00A07075"/>
    <w:rsid w:val="00A10938"/>
    <w:rsid w:val="00A10B3B"/>
    <w:rsid w:val="00A12EF1"/>
    <w:rsid w:val="00A134C0"/>
    <w:rsid w:val="00A13651"/>
    <w:rsid w:val="00A1399A"/>
    <w:rsid w:val="00A139C2"/>
    <w:rsid w:val="00A146F8"/>
    <w:rsid w:val="00A167FC"/>
    <w:rsid w:val="00A20088"/>
    <w:rsid w:val="00A21786"/>
    <w:rsid w:val="00A217AD"/>
    <w:rsid w:val="00A23018"/>
    <w:rsid w:val="00A241E5"/>
    <w:rsid w:val="00A244AB"/>
    <w:rsid w:val="00A244EB"/>
    <w:rsid w:val="00A251DA"/>
    <w:rsid w:val="00A25AE9"/>
    <w:rsid w:val="00A2694A"/>
    <w:rsid w:val="00A26FEB"/>
    <w:rsid w:val="00A274E2"/>
    <w:rsid w:val="00A313F0"/>
    <w:rsid w:val="00A33BB9"/>
    <w:rsid w:val="00A35EE2"/>
    <w:rsid w:val="00A367E6"/>
    <w:rsid w:val="00A36B58"/>
    <w:rsid w:val="00A373A8"/>
    <w:rsid w:val="00A4047C"/>
    <w:rsid w:val="00A40FF1"/>
    <w:rsid w:val="00A417BB"/>
    <w:rsid w:val="00A42D85"/>
    <w:rsid w:val="00A44581"/>
    <w:rsid w:val="00A45281"/>
    <w:rsid w:val="00A4555C"/>
    <w:rsid w:val="00A457DC"/>
    <w:rsid w:val="00A45C0D"/>
    <w:rsid w:val="00A46075"/>
    <w:rsid w:val="00A50D49"/>
    <w:rsid w:val="00A5136D"/>
    <w:rsid w:val="00A533A4"/>
    <w:rsid w:val="00A535C8"/>
    <w:rsid w:val="00A54321"/>
    <w:rsid w:val="00A5551A"/>
    <w:rsid w:val="00A55608"/>
    <w:rsid w:val="00A55631"/>
    <w:rsid w:val="00A55CC3"/>
    <w:rsid w:val="00A55F26"/>
    <w:rsid w:val="00A56122"/>
    <w:rsid w:val="00A56C50"/>
    <w:rsid w:val="00A5721A"/>
    <w:rsid w:val="00A57A84"/>
    <w:rsid w:val="00A57C6F"/>
    <w:rsid w:val="00A60C6C"/>
    <w:rsid w:val="00A60F9B"/>
    <w:rsid w:val="00A6109E"/>
    <w:rsid w:val="00A62761"/>
    <w:rsid w:val="00A63508"/>
    <w:rsid w:val="00A64187"/>
    <w:rsid w:val="00A651C3"/>
    <w:rsid w:val="00A65BA7"/>
    <w:rsid w:val="00A66E0D"/>
    <w:rsid w:val="00A67D9C"/>
    <w:rsid w:val="00A70A30"/>
    <w:rsid w:val="00A72332"/>
    <w:rsid w:val="00A725AD"/>
    <w:rsid w:val="00A72A1C"/>
    <w:rsid w:val="00A72BA3"/>
    <w:rsid w:val="00A7385A"/>
    <w:rsid w:val="00A74078"/>
    <w:rsid w:val="00A74460"/>
    <w:rsid w:val="00A7477A"/>
    <w:rsid w:val="00A74A4E"/>
    <w:rsid w:val="00A755DB"/>
    <w:rsid w:val="00A764D0"/>
    <w:rsid w:val="00A7667E"/>
    <w:rsid w:val="00A76EB8"/>
    <w:rsid w:val="00A80131"/>
    <w:rsid w:val="00A80E72"/>
    <w:rsid w:val="00A8114E"/>
    <w:rsid w:val="00A81350"/>
    <w:rsid w:val="00A81600"/>
    <w:rsid w:val="00A81BEC"/>
    <w:rsid w:val="00A81C57"/>
    <w:rsid w:val="00A82A48"/>
    <w:rsid w:val="00A82B57"/>
    <w:rsid w:val="00A82CCD"/>
    <w:rsid w:val="00A8360A"/>
    <w:rsid w:val="00A842E3"/>
    <w:rsid w:val="00A85C88"/>
    <w:rsid w:val="00A85E10"/>
    <w:rsid w:val="00A879DD"/>
    <w:rsid w:val="00A87BC2"/>
    <w:rsid w:val="00A918E1"/>
    <w:rsid w:val="00A91FF0"/>
    <w:rsid w:val="00A92CA7"/>
    <w:rsid w:val="00A93532"/>
    <w:rsid w:val="00A935F3"/>
    <w:rsid w:val="00A951DD"/>
    <w:rsid w:val="00A95FB9"/>
    <w:rsid w:val="00A965C0"/>
    <w:rsid w:val="00A972A9"/>
    <w:rsid w:val="00A97871"/>
    <w:rsid w:val="00A97A7A"/>
    <w:rsid w:val="00A97DE3"/>
    <w:rsid w:val="00AA018F"/>
    <w:rsid w:val="00AA0C84"/>
    <w:rsid w:val="00AA1DD8"/>
    <w:rsid w:val="00AA239C"/>
    <w:rsid w:val="00AA29F5"/>
    <w:rsid w:val="00AA3414"/>
    <w:rsid w:val="00AA64EE"/>
    <w:rsid w:val="00AB00D4"/>
    <w:rsid w:val="00AB11E4"/>
    <w:rsid w:val="00AB2466"/>
    <w:rsid w:val="00AB24DB"/>
    <w:rsid w:val="00AB25D9"/>
    <w:rsid w:val="00AB2F62"/>
    <w:rsid w:val="00AB4F86"/>
    <w:rsid w:val="00AB5643"/>
    <w:rsid w:val="00AB5FC2"/>
    <w:rsid w:val="00AB6318"/>
    <w:rsid w:val="00AB7ACD"/>
    <w:rsid w:val="00AC03B7"/>
    <w:rsid w:val="00AC16EE"/>
    <w:rsid w:val="00AC1C25"/>
    <w:rsid w:val="00AC1C9A"/>
    <w:rsid w:val="00AC3096"/>
    <w:rsid w:val="00AC3819"/>
    <w:rsid w:val="00AC3AC5"/>
    <w:rsid w:val="00AC3D95"/>
    <w:rsid w:val="00AC44D6"/>
    <w:rsid w:val="00AC4B0F"/>
    <w:rsid w:val="00AC5787"/>
    <w:rsid w:val="00AC6E76"/>
    <w:rsid w:val="00AD0181"/>
    <w:rsid w:val="00AD10A8"/>
    <w:rsid w:val="00AD1BB3"/>
    <w:rsid w:val="00AD2918"/>
    <w:rsid w:val="00AD534F"/>
    <w:rsid w:val="00AD5B45"/>
    <w:rsid w:val="00AD5DB7"/>
    <w:rsid w:val="00AE0005"/>
    <w:rsid w:val="00AE0248"/>
    <w:rsid w:val="00AE07A4"/>
    <w:rsid w:val="00AE090E"/>
    <w:rsid w:val="00AE2013"/>
    <w:rsid w:val="00AE25B3"/>
    <w:rsid w:val="00AE33C9"/>
    <w:rsid w:val="00AE43C3"/>
    <w:rsid w:val="00AE4651"/>
    <w:rsid w:val="00AE5884"/>
    <w:rsid w:val="00AE5C0D"/>
    <w:rsid w:val="00AE6052"/>
    <w:rsid w:val="00AE69A8"/>
    <w:rsid w:val="00AE6A23"/>
    <w:rsid w:val="00AE7FCA"/>
    <w:rsid w:val="00AF0660"/>
    <w:rsid w:val="00AF2A8A"/>
    <w:rsid w:val="00AF3A10"/>
    <w:rsid w:val="00AF4014"/>
    <w:rsid w:val="00AF41CC"/>
    <w:rsid w:val="00AF4A8C"/>
    <w:rsid w:val="00AF5095"/>
    <w:rsid w:val="00B01A97"/>
    <w:rsid w:val="00B02496"/>
    <w:rsid w:val="00B04350"/>
    <w:rsid w:val="00B04B0C"/>
    <w:rsid w:val="00B10393"/>
    <w:rsid w:val="00B118DE"/>
    <w:rsid w:val="00B1262F"/>
    <w:rsid w:val="00B12F0B"/>
    <w:rsid w:val="00B13083"/>
    <w:rsid w:val="00B140E0"/>
    <w:rsid w:val="00B151C5"/>
    <w:rsid w:val="00B16787"/>
    <w:rsid w:val="00B17595"/>
    <w:rsid w:val="00B178C5"/>
    <w:rsid w:val="00B17F04"/>
    <w:rsid w:val="00B20634"/>
    <w:rsid w:val="00B20BB1"/>
    <w:rsid w:val="00B239EB"/>
    <w:rsid w:val="00B24234"/>
    <w:rsid w:val="00B24EFF"/>
    <w:rsid w:val="00B26D9F"/>
    <w:rsid w:val="00B27242"/>
    <w:rsid w:val="00B305D3"/>
    <w:rsid w:val="00B309FE"/>
    <w:rsid w:val="00B30E24"/>
    <w:rsid w:val="00B31AC6"/>
    <w:rsid w:val="00B32999"/>
    <w:rsid w:val="00B33EE8"/>
    <w:rsid w:val="00B34DBF"/>
    <w:rsid w:val="00B3599E"/>
    <w:rsid w:val="00B362A4"/>
    <w:rsid w:val="00B36CB6"/>
    <w:rsid w:val="00B37FB0"/>
    <w:rsid w:val="00B40542"/>
    <w:rsid w:val="00B410B0"/>
    <w:rsid w:val="00B41DE6"/>
    <w:rsid w:val="00B4234B"/>
    <w:rsid w:val="00B42BF4"/>
    <w:rsid w:val="00B431D8"/>
    <w:rsid w:val="00B4345A"/>
    <w:rsid w:val="00B43D51"/>
    <w:rsid w:val="00B44046"/>
    <w:rsid w:val="00B52081"/>
    <w:rsid w:val="00B52761"/>
    <w:rsid w:val="00B52936"/>
    <w:rsid w:val="00B52DDA"/>
    <w:rsid w:val="00B52EB6"/>
    <w:rsid w:val="00B53335"/>
    <w:rsid w:val="00B53D01"/>
    <w:rsid w:val="00B5474D"/>
    <w:rsid w:val="00B54BD1"/>
    <w:rsid w:val="00B54DC1"/>
    <w:rsid w:val="00B5542C"/>
    <w:rsid w:val="00B555FE"/>
    <w:rsid w:val="00B55A26"/>
    <w:rsid w:val="00B567AC"/>
    <w:rsid w:val="00B57AAF"/>
    <w:rsid w:val="00B61A84"/>
    <w:rsid w:val="00B6296F"/>
    <w:rsid w:val="00B62FBD"/>
    <w:rsid w:val="00B634AA"/>
    <w:rsid w:val="00B64714"/>
    <w:rsid w:val="00B64940"/>
    <w:rsid w:val="00B654D0"/>
    <w:rsid w:val="00B65EBC"/>
    <w:rsid w:val="00B66637"/>
    <w:rsid w:val="00B66661"/>
    <w:rsid w:val="00B67501"/>
    <w:rsid w:val="00B67DE4"/>
    <w:rsid w:val="00B70A01"/>
    <w:rsid w:val="00B70A4A"/>
    <w:rsid w:val="00B71F46"/>
    <w:rsid w:val="00B72407"/>
    <w:rsid w:val="00B72878"/>
    <w:rsid w:val="00B7398E"/>
    <w:rsid w:val="00B7440A"/>
    <w:rsid w:val="00B74D7E"/>
    <w:rsid w:val="00B7535C"/>
    <w:rsid w:val="00B75633"/>
    <w:rsid w:val="00B765ED"/>
    <w:rsid w:val="00B76893"/>
    <w:rsid w:val="00B77654"/>
    <w:rsid w:val="00B77F1B"/>
    <w:rsid w:val="00B81448"/>
    <w:rsid w:val="00B81880"/>
    <w:rsid w:val="00B82967"/>
    <w:rsid w:val="00B83A5F"/>
    <w:rsid w:val="00B841D1"/>
    <w:rsid w:val="00B844CF"/>
    <w:rsid w:val="00B84B97"/>
    <w:rsid w:val="00B85213"/>
    <w:rsid w:val="00B85830"/>
    <w:rsid w:val="00B85A12"/>
    <w:rsid w:val="00B90725"/>
    <w:rsid w:val="00B90A9F"/>
    <w:rsid w:val="00B910D4"/>
    <w:rsid w:val="00B915A1"/>
    <w:rsid w:val="00B93026"/>
    <w:rsid w:val="00B93873"/>
    <w:rsid w:val="00B938CC"/>
    <w:rsid w:val="00B93981"/>
    <w:rsid w:val="00B94084"/>
    <w:rsid w:val="00B943BF"/>
    <w:rsid w:val="00B94731"/>
    <w:rsid w:val="00B974F9"/>
    <w:rsid w:val="00B97F9F"/>
    <w:rsid w:val="00BA006A"/>
    <w:rsid w:val="00BA1B69"/>
    <w:rsid w:val="00BA1E97"/>
    <w:rsid w:val="00BA2188"/>
    <w:rsid w:val="00BA24B7"/>
    <w:rsid w:val="00BA367D"/>
    <w:rsid w:val="00BA3A92"/>
    <w:rsid w:val="00BA51BB"/>
    <w:rsid w:val="00BA6020"/>
    <w:rsid w:val="00BA6219"/>
    <w:rsid w:val="00BA62FC"/>
    <w:rsid w:val="00BA7569"/>
    <w:rsid w:val="00BA79C5"/>
    <w:rsid w:val="00BA7F91"/>
    <w:rsid w:val="00BB0431"/>
    <w:rsid w:val="00BB10FA"/>
    <w:rsid w:val="00BB18A7"/>
    <w:rsid w:val="00BB2CC9"/>
    <w:rsid w:val="00BB305C"/>
    <w:rsid w:val="00BB3BC4"/>
    <w:rsid w:val="00BB4511"/>
    <w:rsid w:val="00BB5CBE"/>
    <w:rsid w:val="00BB6054"/>
    <w:rsid w:val="00BB7980"/>
    <w:rsid w:val="00BB7FD6"/>
    <w:rsid w:val="00BC211D"/>
    <w:rsid w:val="00BC2B74"/>
    <w:rsid w:val="00BC2F85"/>
    <w:rsid w:val="00BC36B1"/>
    <w:rsid w:val="00BC3B20"/>
    <w:rsid w:val="00BC479A"/>
    <w:rsid w:val="00BC5966"/>
    <w:rsid w:val="00BC5CEB"/>
    <w:rsid w:val="00BC79D9"/>
    <w:rsid w:val="00BD0735"/>
    <w:rsid w:val="00BD1D6A"/>
    <w:rsid w:val="00BD248A"/>
    <w:rsid w:val="00BD3FF6"/>
    <w:rsid w:val="00BD44D9"/>
    <w:rsid w:val="00BD4B6C"/>
    <w:rsid w:val="00BD5604"/>
    <w:rsid w:val="00BD5903"/>
    <w:rsid w:val="00BD5A50"/>
    <w:rsid w:val="00BD61CD"/>
    <w:rsid w:val="00BD650C"/>
    <w:rsid w:val="00BE003F"/>
    <w:rsid w:val="00BE1BA7"/>
    <w:rsid w:val="00BE33C8"/>
    <w:rsid w:val="00BE522A"/>
    <w:rsid w:val="00BE58CF"/>
    <w:rsid w:val="00BE5AD2"/>
    <w:rsid w:val="00BE6745"/>
    <w:rsid w:val="00BE75EB"/>
    <w:rsid w:val="00BE7657"/>
    <w:rsid w:val="00BE7914"/>
    <w:rsid w:val="00BF0500"/>
    <w:rsid w:val="00BF0F54"/>
    <w:rsid w:val="00BF1C33"/>
    <w:rsid w:val="00BF2B1E"/>
    <w:rsid w:val="00BF3D16"/>
    <w:rsid w:val="00BF41A9"/>
    <w:rsid w:val="00BF4319"/>
    <w:rsid w:val="00BF487C"/>
    <w:rsid w:val="00BF4959"/>
    <w:rsid w:val="00BF51C5"/>
    <w:rsid w:val="00BF5838"/>
    <w:rsid w:val="00BF5972"/>
    <w:rsid w:val="00BF629E"/>
    <w:rsid w:val="00BF73AE"/>
    <w:rsid w:val="00C0046C"/>
    <w:rsid w:val="00C0325A"/>
    <w:rsid w:val="00C03625"/>
    <w:rsid w:val="00C050C1"/>
    <w:rsid w:val="00C070AD"/>
    <w:rsid w:val="00C07813"/>
    <w:rsid w:val="00C113E5"/>
    <w:rsid w:val="00C118AD"/>
    <w:rsid w:val="00C11B9E"/>
    <w:rsid w:val="00C11FA5"/>
    <w:rsid w:val="00C12409"/>
    <w:rsid w:val="00C1381A"/>
    <w:rsid w:val="00C14A50"/>
    <w:rsid w:val="00C15429"/>
    <w:rsid w:val="00C168F8"/>
    <w:rsid w:val="00C173C1"/>
    <w:rsid w:val="00C21860"/>
    <w:rsid w:val="00C218D7"/>
    <w:rsid w:val="00C21D7E"/>
    <w:rsid w:val="00C22127"/>
    <w:rsid w:val="00C23440"/>
    <w:rsid w:val="00C23A22"/>
    <w:rsid w:val="00C2636A"/>
    <w:rsid w:val="00C269DF"/>
    <w:rsid w:val="00C2747F"/>
    <w:rsid w:val="00C27E91"/>
    <w:rsid w:val="00C30D30"/>
    <w:rsid w:val="00C311AB"/>
    <w:rsid w:val="00C35B25"/>
    <w:rsid w:val="00C37298"/>
    <w:rsid w:val="00C41823"/>
    <w:rsid w:val="00C43661"/>
    <w:rsid w:val="00C43D04"/>
    <w:rsid w:val="00C4446A"/>
    <w:rsid w:val="00C4469B"/>
    <w:rsid w:val="00C4479C"/>
    <w:rsid w:val="00C44E4C"/>
    <w:rsid w:val="00C450B4"/>
    <w:rsid w:val="00C456FD"/>
    <w:rsid w:val="00C46777"/>
    <w:rsid w:val="00C47986"/>
    <w:rsid w:val="00C50F80"/>
    <w:rsid w:val="00C5108C"/>
    <w:rsid w:val="00C517D3"/>
    <w:rsid w:val="00C5207E"/>
    <w:rsid w:val="00C526D4"/>
    <w:rsid w:val="00C53A6D"/>
    <w:rsid w:val="00C556D4"/>
    <w:rsid w:val="00C55FF6"/>
    <w:rsid w:val="00C57111"/>
    <w:rsid w:val="00C636FC"/>
    <w:rsid w:val="00C638F0"/>
    <w:rsid w:val="00C643C3"/>
    <w:rsid w:val="00C65240"/>
    <w:rsid w:val="00C6565F"/>
    <w:rsid w:val="00C65EAE"/>
    <w:rsid w:val="00C674D4"/>
    <w:rsid w:val="00C70ACE"/>
    <w:rsid w:val="00C71362"/>
    <w:rsid w:val="00C71E08"/>
    <w:rsid w:val="00C73909"/>
    <w:rsid w:val="00C73B7D"/>
    <w:rsid w:val="00C7432E"/>
    <w:rsid w:val="00C74A44"/>
    <w:rsid w:val="00C75F9F"/>
    <w:rsid w:val="00C76BAA"/>
    <w:rsid w:val="00C77510"/>
    <w:rsid w:val="00C80373"/>
    <w:rsid w:val="00C80A0B"/>
    <w:rsid w:val="00C81786"/>
    <w:rsid w:val="00C81B3A"/>
    <w:rsid w:val="00C823D9"/>
    <w:rsid w:val="00C82729"/>
    <w:rsid w:val="00C8451F"/>
    <w:rsid w:val="00C84E2E"/>
    <w:rsid w:val="00C860E5"/>
    <w:rsid w:val="00C86589"/>
    <w:rsid w:val="00C8728E"/>
    <w:rsid w:val="00C9060F"/>
    <w:rsid w:val="00C90A99"/>
    <w:rsid w:val="00C93261"/>
    <w:rsid w:val="00C95163"/>
    <w:rsid w:val="00C96465"/>
    <w:rsid w:val="00C9649F"/>
    <w:rsid w:val="00CA0174"/>
    <w:rsid w:val="00CA1735"/>
    <w:rsid w:val="00CA1CF2"/>
    <w:rsid w:val="00CA21D4"/>
    <w:rsid w:val="00CA3176"/>
    <w:rsid w:val="00CA46D4"/>
    <w:rsid w:val="00CA477B"/>
    <w:rsid w:val="00CA4908"/>
    <w:rsid w:val="00CA5794"/>
    <w:rsid w:val="00CA5CCE"/>
    <w:rsid w:val="00CA5DEC"/>
    <w:rsid w:val="00CA661C"/>
    <w:rsid w:val="00CB0373"/>
    <w:rsid w:val="00CB1036"/>
    <w:rsid w:val="00CB12E5"/>
    <w:rsid w:val="00CB15B8"/>
    <w:rsid w:val="00CB1FD1"/>
    <w:rsid w:val="00CB2B8C"/>
    <w:rsid w:val="00CB3477"/>
    <w:rsid w:val="00CB35E9"/>
    <w:rsid w:val="00CB4AC5"/>
    <w:rsid w:val="00CB5D94"/>
    <w:rsid w:val="00CB6021"/>
    <w:rsid w:val="00CB63D7"/>
    <w:rsid w:val="00CB6569"/>
    <w:rsid w:val="00CB7523"/>
    <w:rsid w:val="00CB7B1E"/>
    <w:rsid w:val="00CB7BDB"/>
    <w:rsid w:val="00CC0BC1"/>
    <w:rsid w:val="00CC0DA0"/>
    <w:rsid w:val="00CC1459"/>
    <w:rsid w:val="00CC21C7"/>
    <w:rsid w:val="00CC27B3"/>
    <w:rsid w:val="00CC3215"/>
    <w:rsid w:val="00CC38F5"/>
    <w:rsid w:val="00CC3A1B"/>
    <w:rsid w:val="00CC424F"/>
    <w:rsid w:val="00CC4C8E"/>
    <w:rsid w:val="00CC550A"/>
    <w:rsid w:val="00CC6596"/>
    <w:rsid w:val="00CC6B7E"/>
    <w:rsid w:val="00CC7087"/>
    <w:rsid w:val="00CC725C"/>
    <w:rsid w:val="00CC7427"/>
    <w:rsid w:val="00CC77F4"/>
    <w:rsid w:val="00CC7993"/>
    <w:rsid w:val="00CD0380"/>
    <w:rsid w:val="00CD0ACA"/>
    <w:rsid w:val="00CD3BF1"/>
    <w:rsid w:val="00CD3F6E"/>
    <w:rsid w:val="00CD4587"/>
    <w:rsid w:val="00CD4896"/>
    <w:rsid w:val="00CD66CC"/>
    <w:rsid w:val="00CD739F"/>
    <w:rsid w:val="00CD76C6"/>
    <w:rsid w:val="00CE0437"/>
    <w:rsid w:val="00CE160A"/>
    <w:rsid w:val="00CE16DF"/>
    <w:rsid w:val="00CE1E6A"/>
    <w:rsid w:val="00CE1EAD"/>
    <w:rsid w:val="00CE2558"/>
    <w:rsid w:val="00CE2659"/>
    <w:rsid w:val="00CE27DB"/>
    <w:rsid w:val="00CE33C5"/>
    <w:rsid w:val="00CE3607"/>
    <w:rsid w:val="00CE38B0"/>
    <w:rsid w:val="00CE3F65"/>
    <w:rsid w:val="00CE5339"/>
    <w:rsid w:val="00CE603C"/>
    <w:rsid w:val="00CE63D5"/>
    <w:rsid w:val="00CE717B"/>
    <w:rsid w:val="00CF13B5"/>
    <w:rsid w:val="00CF3B70"/>
    <w:rsid w:val="00CF4FE7"/>
    <w:rsid w:val="00CF565E"/>
    <w:rsid w:val="00CF5A47"/>
    <w:rsid w:val="00CF651E"/>
    <w:rsid w:val="00CF6AF1"/>
    <w:rsid w:val="00CF6E38"/>
    <w:rsid w:val="00CF7030"/>
    <w:rsid w:val="00CF7392"/>
    <w:rsid w:val="00D01057"/>
    <w:rsid w:val="00D026CB"/>
    <w:rsid w:val="00D03922"/>
    <w:rsid w:val="00D052B6"/>
    <w:rsid w:val="00D06542"/>
    <w:rsid w:val="00D06B6C"/>
    <w:rsid w:val="00D06CE0"/>
    <w:rsid w:val="00D06F0C"/>
    <w:rsid w:val="00D101CE"/>
    <w:rsid w:val="00D104C5"/>
    <w:rsid w:val="00D11DF9"/>
    <w:rsid w:val="00D12519"/>
    <w:rsid w:val="00D12F11"/>
    <w:rsid w:val="00D12FD3"/>
    <w:rsid w:val="00D15CC3"/>
    <w:rsid w:val="00D16DE1"/>
    <w:rsid w:val="00D17AAB"/>
    <w:rsid w:val="00D206D5"/>
    <w:rsid w:val="00D20BCD"/>
    <w:rsid w:val="00D21D89"/>
    <w:rsid w:val="00D23E89"/>
    <w:rsid w:val="00D23F1A"/>
    <w:rsid w:val="00D246D2"/>
    <w:rsid w:val="00D2471F"/>
    <w:rsid w:val="00D24C68"/>
    <w:rsid w:val="00D2582E"/>
    <w:rsid w:val="00D26019"/>
    <w:rsid w:val="00D266B3"/>
    <w:rsid w:val="00D2684B"/>
    <w:rsid w:val="00D27166"/>
    <w:rsid w:val="00D276B0"/>
    <w:rsid w:val="00D30CB4"/>
    <w:rsid w:val="00D313A7"/>
    <w:rsid w:val="00D318F7"/>
    <w:rsid w:val="00D31CC4"/>
    <w:rsid w:val="00D3237D"/>
    <w:rsid w:val="00D3316C"/>
    <w:rsid w:val="00D3381E"/>
    <w:rsid w:val="00D3539D"/>
    <w:rsid w:val="00D35709"/>
    <w:rsid w:val="00D37118"/>
    <w:rsid w:val="00D37ACD"/>
    <w:rsid w:val="00D40431"/>
    <w:rsid w:val="00D41C97"/>
    <w:rsid w:val="00D42C1B"/>
    <w:rsid w:val="00D43392"/>
    <w:rsid w:val="00D434EC"/>
    <w:rsid w:val="00D459BC"/>
    <w:rsid w:val="00D4609F"/>
    <w:rsid w:val="00D508C1"/>
    <w:rsid w:val="00D50F76"/>
    <w:rsid w:val="00D521C7"/>
    <w:rsid w:val="00D535D3"/>
    <w:rsid w:val="00D536D0"/>
    <w:rsid w:val="00D53ADE"/>
    <w:rsid w:val="00D55D1C"/>
    <w:rsid w:val="00D56DC8"/>
    <w:rsid w:val="00D57917"/>
    <w:rsid w:val="00D57D93"/>
    <w:rsid w:val="00D57DE1"/>
    <w:rsid w:val="00D603CA"/>
    <w:rsid w:val="00D607D5"/>
    <w:rsid w:val="00D61696"/>
    <w:rsid w:val="00D620DF"/>
    <w:rsid w:val="00D63B17"/>
    <w:rsid w:val="00D64D4C"/>
    <w:rsid w:val="00D65585"/>
    <w:rsid w:val="00D656DD"/>
    <w:rsid w:val="00D666C4"/>
    <w:rsid w:val="00D67AD6"/>
    <w:rsid w:val="00D70993"/>
    <w:rsid w:val="00D717BB"/>
    <w:rsid w:val="00D71A22"/>
    <w:rsid w:val="00D7204B"/>
    <w:rsid w:val="00D72655"/>
    <w:rsid w:val="00D72FB5"/>
    <w:rsid w:val="00D74414"/>
    <w:rsid w:val="00D745D8"/>
    <w:rsid w:val="00D74710"/>
    <w:rsid w:val="00D74A07"/>
    <w:rsid w:val="00D74A2D"/>
    <w:rsid w:val="00D754AC"/>
    <w:rsid w:val="00D75611"/>
    <w:rsid w:val="00D75A98"/>
    <w:rsid w:val="00D76219"/>
    <w:rsid w:val="00D7742D"/>
    <w:rsid w:val="00D77BA0"/>
    <w:rsid w:val="00D80D0C"/>
    <w:rsid w:val="00D80DD0"/>
    <w:rsid w:val="00D818F6"/>
    <w:rsid w:val="00D82209"/>
    <w:rsid w:val="00D83398"/>
    <w:rsid w:val="00D84691"/>
    <w:rsid w:val="00D84E1D"/>
    <w:rsid w:val="00D8509D"/>
    <w:rsid w:val="00D86550"/>
    <w:rsid w:val="00D86E21"/>
    <w:rsid w:val="00D876EC"/>
    <w:rsid w:val="00D90984"/>
    <w:rsid w:val="00D91555"/>
    <w:rsid w:val="00D915C5"/>
    <w:rsid w:val="00D92212"/>
    <w:rsid w:val="00D9288B"/>
    <w:rsid w:val="00D94A3B"/>
    <w:rsid w:val="00D96112"/>
    <w:rsid w:val="00D96727"/>
    <w:rsid w:val="00D97059"/>
    <w:rsid w:val="00D9750F"/>
    <w:rsid w:val="00D97FA5"/>
    <w:rsid w:val="00DA18C8"/>
    <w:rsid w:val="00DA1A4B"/>
    <w:rsid w:val="00DA1F31"/>
    <w:rsid w:val="00DA4A1B"/>
    <w:rsid w:val="00DA60B0"/>
    <w:rsid w:val="00DA73FF"/>
    <w:rsid w:val="00DB0680"/>
    <w:rsid w:val="00DB0CED"/>
    <w:rsid w:val="00DB1491"/>
    <w:rsid w:val="00DB2CD4"/>
    <w:rsid w:val="00DB3A0A"/>
    <w:rsid w:val="00DB4C45"/>
    <w:rsid w:val="00DB5741"/>
    <w:rsid w:val="00DB5B1B"/>
    <w:rsid w:val="00DB6792"/>
    <w:rsid w:val="00DB6C3C"/>
    <w:rsid w:val="00DB7CEC"/>
    <w:rsid w:val="00DC002B"/>
    <w:rsid w:val="00DC0119"/>
    <w:rsid w:val="00DC05B3"/>
    <w:rsid w:val="00DC1AD4"/>
    <w:rsid w:val="00DC3020"/>
    <w:rsid w:val="00DC5349"/>
    <w:rsid w:val="00DC631E"/>
    <w:rsid w:val="00DC7383"/>
    <w:rsid w:val="00DD2C77"/>
    <w:rsid w:val="00DD340C"/>
    <w:rsid w:val="00DD4599"/>
    <w:rsid w:val="00DD4EAA"/>
    <w:rsid w:val="00DD5787"/>
    <w:rsid w:val="00DD5AF2"/>
    <w:rsid w:val="00DD6411"/>
    <w:rsid w:val="00DE015E"/>
    <w:rsid w:val="00DE0A77"/>
    <w:rsid w:val="00DE12B7"/>
    <w:rsid w:val="00DE1DCF"/>
    <w:rsid w:val="00DE3FC6"/>
    <w:rsid w:val="00DE4D66"/>
    <w:rsid w:val="00DE4FA6"/>
    <w:rsid w:val="00DE6901"/>
    <w:rsid w:val="00DE703A"/>
    <w:rsid w:val="00DE7583"/>
    <w:rsid w:val="00DF0254"/>
    <w:rsid w:val="00DF1187"/>
    <w:rsid w:val="00DF1209"/>
    <w:rsid w:val="00DF2113"/>
    <w:rsid w:val="00DF4E60"/>
    <w:rsid w:val="00DF55A2"/>
    <w:rsid w:val="00DF5C5D"/>
    <w:rsid w:val="00DF62A9"/>
    <w:rsid w:val="00DF6C3E"/>
    <w:rsid w:val="00DF6E9D"/>
    <w:rsid w:val="00DF757B"/>
    <w:rsid w:val="00DF7940"/>
    <w:rsid w:val="00E0158D"/>
    <w:rsid w:val="00E02302"/>
    <w:rsid w:val="00E02317"/>
    <w:rsid w:val="00E02DA8"/>
    <w:rsid w:val="00E043B4"/>
    <w:rsid w:val="00E04932"/>
    <w:rsid w:val="00E05502"/>
    <w:rsid w:val="00E06AA0"/>
    <w:rsid w:val="00E07A1E"/>
    <w:rsid w:val="00E10CE6"/>
    <w:rsid w:val="00E11EF8"/>
    <w:rsid w:val="00E1225E"/>
    <w:rsid w:val="00E13C2B"/>
    <w:rsid w:val="00E1468A"/>
    <w:rsid w:val="00E14B27"/>
    <w:rsid w:val="00E14F80"/>
    <w:rsid w:val="00E1594F"/>
    <w:rsid w:val="00E163EA"/>
    <w:rsid w:val="00E16BB2"/>
    <w:rsid w:val="00E20D18"/>
    <w:rsid w:val="00E215CF"/>
    <w:rsid w:val="00E219AE"/>
    <w:rsid w:val="00E22A95"/>
    <w:rsid w:val="00E237C2"/>
    <w:rsid w:val="00E245F1"/>
    <w:rsid w:val="00E246FB"/>
    <w:rsid w:val="00E25000"/>
    <w:rsid w:val="00E2576A"/>
    <w:rsid w:val="00E25B01"/>
    <w:rsid w:val="00E26482"/>
    <w:rsid w:val="00E26ABC"/>
    <w:rsid w:val="00E26CBA"/>
    <w:rsid w:val="00E2740E"/>
    <w:rsid w:val="00E302DD"/>
    <w:rsid w:val="00E30358"/>
    <w:rsid w:val="00E31361"/>
    <w:rsid w:val="00E322DC"/>
    <w:rsid w:val="00E32B27"/>
    <w:rsid w:val="00E32CD2"/>
    <w:rsid w:val="00E32FBB"/>
    <w:rsid w:val="00E3317E"/>
    <w:rsid w:val="00E3383E"/>
    <w:rsid w:val="00E33FFF"/>
    <w:rsid w:val="00E343C5"/>
    <w:rsid w:val="00E34BF9"/>
    <w:rsid w:val="00E34EC8"/>
    <w:rsid w:val="00E35864"/>
    <w:rsid w:val="00E36A38"/>
    <w:rsid w:val="00E42E25"/>
    <w:rsid w:val="00E43B80"/>
    <w:rsid w:val="00E4736B"/>
    <w:rsid w:val="00E47BA3"/>
    <w:rsid w:val="00E50040"/>
    <w:rsid w:val="00E503E1"/>
    <w:rsid w:val="00E506FF"/>
    <w:rsid w:val="00E5112C"/>
    <w:rsid w:val="00E51DAB"/>
    <w:rsid w:val="00E522E9"/>
    <w:rsid w:val="00E5378D"/>
    <w:rsid w:val="00E53E9E"/>
    <w:rsid w:val="00E53F22"/>
    <w:rsid w:val="00E5626C"/>
    <w:rsid w:val="00E565AE"/>
    <w:rsid w:val="00E56777"/>
    <w:rsid w:val="00E60258"/>
    <w:rsid w:val="00E60585"/>
    <w:rsid w:val="00E621E4"/>
    <w:rsid w:val="00E63813"/>
    <w:rsid w:val="00E63D57"/>
    <w:rsid w:val="00E64772"/>
    <w:rsid w:val="00E65D7A"/>
    <w:rsid w:val="00E66EC6"/>
    <w:rsid w:val="00E675D2"/>
    <w:rsid w:val="00E70877"/>
    <w:rsid w:val="00E71C57"/>
    <w:rsid w:val="00E72D94"/>
    <w:rsid w:val="00E76304"/>
    <w:rsid w:val="00E76700"/>
    <w:rsid w:val="00E8041D"/>
    <w:rsid w:val="00E81739"/>
    <w:rsid w:val="00E828B9"/>
    <w:rsid w:val="00E831FD"/>
    <w:rsid w:val="00E832F9"/>
    <w:rsid w:val="00E83E1E"/>
    <w:rsid w:val="00E83EA9"/>
    <w:rsid w:val="00E908B2"/>
    <w:rsid w:val="00E90E04"/>
    <w:rsid w:val="00E9149D"/>
    <w:rsid w:val="00E94036"/>
    <w:rsid w:val="00E941BC"/>
    <w:rsid w:val="00E94C92"/>
    <w:rsid w:val="00E961AC"/>
    <w:rsid w:val="00E96882"/>
    <w:rsid w:val="00E96F7B"/>
    <w:rsid w:val="00E97AA6"/>
    <w:rsid w:val="00EA0BA5"/>
    <w:rsid w:val="00EA16DF"/>
    <w:rsid w:val="00EA2364"/>
    <w:rsid w:val="00EA4099"/>
    <w:rsid w:val="00EA42E4"/>
    <w:rsid w:val="00EA463B"/>
    <w:rsid w:val="00EA4A89"/>
    <w:rsid w:val="00EA5438"/>
    <w:rsid w:val="00EA5A61"/>
    <w:rsid w:val="00EA6FAA"/>
    <w:rsid w:val="00EA72C7"/>
    <w:rsid w:val="00EA791F"/>
    <w:rsid w:val="00EA7BAD"/>
    <w:rsid w:val="00EA7DCD"/>
    <w:rsid w:val="00EB03E4"/>
    <w:rsid w:val="00EB36EF"/>
    <w:rsid w:val="00EB3A63"/>
    <w:rsid w:val="00EB3B59"/>
    <w:rsid w:val="00EB4085"/>
    <w:rsid w:val="00EB63F6"/>
    <w:rsid w:val="00EB6CC6"/>
    <w:rsid w:val="00EB6E14"/>
    <w:rsid w:val="00EB71EB"/>
    <w:rsid w:val="00EB7208"/>
    <w:rsid w:val="00EC0890"/>
    <w:rsid w:val="00EC150B"/>
    <w:rsid w:val="00EC4A14"/>
    <w:rsid w:val="00EC5142"/>
    <w:rsid w:val="00EC556C"/>
    <w:rsid w:val="00EC5DEA"/>
    <w:rsid w:val="00EC603A"/>
    <w:rsid w:val="00EC76E1"/>
    <w:rsid w:val="00EC7B3F"/>
    <w:rsid w:val="00ED033D"/>
    <w:rsid w:val="00ED2550"/>
    <w:rsid w:val="00ED590B"/>
    <w:rsid w:val="00ED5FAD"/>
    <w:rsid w:val="00ED67C8"/>
    <w:rsid w:val="00ED67C9"/>
    <w:rsid w:val="00ED764C"/>
    <w:rsid w:val="00EE068B"/>
    <w:rsid w:val="00EE17C1"/>
    <w:rsid w:val="00EE36EA"/>
    <w:rsid w:val="00EE3B60"/>
    <w:rsid w:val="00EE4D90"/>
    <w:rsid w:val="00EE4E2E"/>
    <w:rsid w:val="00EE644B"/>
    <w:rsid w:val="00EE7491"/>
    <w:rsid w:val="00EE7799"/>
    <w:rsid w:val="00EE786E"/>
    <w:rsid w:val="00EE7E13"/>
    <w:rsid w:val="00EF02F1"/>
    <w:rsid w:val="00EF045D"/>
    <w:rsid w:val="00EF04D9"/>
    <w:rsid w:val="00EF09B8"/>
    <w:rsid w:val="00EF0EB0"/>
    <w:rsid w:val="00EF1159"/>
    <w:rsid w:val="00EF19C2"/>
    <w:rsid w:val="00EF2BDF"/>
    <w:rsid w:val="00EF30F8"/>
    <w:rsid w:val="00EF33E9"/>
    <w:rsid w:val="00EF3BF4"/>
    <w:rsid w:val="00EF4783"/>
    <w:rsid w:val="00EF4ECF"/>
    <w:rsid w:val="00EF5479"/>
    <w:rsid w:val="00EF6230"/>
    <w:rsid w:val="00EF65E8"/>
    <w:rsid w:val="00EF677C"/>
    <w:rsid w:val="00EF681A"/>
    <w:rsid w:val="00EF78E8"/>
    <w:rsid w:val="00F002C2"/>
    <w:rsid w:val="00F00F93"/>
    <w:rsid w:val="00F01F28"/>
    <w:rsid w:val="00F02CD0"/>
    <w:rsid w:val="00F042A5"/>
    <w:rsid w:val="00F0620D"/>
    <w:rsid w:val="00F0634D"/>
    <w:rsid w:val="00F072A0"/>
    <w:rsid w:val="00F101DB"/>
    <w:rsid w:val="00F10B61"/>
    <w:rsid w:val="00F124D3"/>
    <w:rsid w:val="00F12C8D"/>
    <w:rsid w:val="00F14417"/>
    <w:rsid w:val="00F145A2"/>
    <w:rsid w:val="00F14724"/>
    <w:rsid w:val="00F148EA"/>
    <w:rsid w:val="00F14A9D"/>
    <w:rsid w:val="00F15FEA"/>
    <w:rsid w:val="00F1694E"/>
    <w:rsid w:val="00F20C69"/>
    <w:rsid w:val="00F23B50"/>
    <w:rsid w:val="00F24B25"/>
    <w:rsid w:val="00F24DC1"/>
    <w:rsid w:val="00F25BD7"/>
    <w:rsid w:val="00F26066"/>
    <w:rsid w:val="00F2613B"/>
    <w:rsid w:val="00F26408"/>
    <w:rsid w:val="00F26AEC"/>
    <w:rsid w:val="00F26CED"/>
    <w:rsid w:val="00F2790B"/>
    <w:rsid w:val="00F27FC9"/>
    <w:rsid w:val="00F30D6F"/>
    <w:rsid w:val="00F33D5A"/>
    <w:rsid w:val="00F347F1"/>
    <w:rsid w:val="00F34D0E"/>
    <w:rsid w:val="00F35E5F"/>
    <w:rsid w:val="00F368EA"/>
    <w:rsid w:val="00F369FD"/>
    <w:rsid w:val="00F3754B"/>
    <w:rsid w:val="00F37A74"/>
    <w:rsid w:val="00F37F5D"/>
    <w:rsid w:val="00F40273"/>
    <w:rsid w:val="00F40326"/>
    <w:rsid w:val="00F40781"/>
    <w:rsid w:val="00F40C61"/>
    <w:rsid w:val="00F4177E"/>
    <w:rsid w:val="00F41B4D"/>
    <w:rsid w:val="00F41C5C"/>
    <w:rsid w:val="00F43829"/>
    <w:rsid w:val="00F4429D"/>
    <w:rsid w:val="00F447D5"/>
    <w:rsid w:val="00F467F5"/>
    <w:rsid w:val="00F46CA8"/>
    <w:rsid w:val="00F474A4"/>
    <w:rsid w:val="00F47E39"/>
    <w:rsid w:val="00F50048"/>
    <w:rsid w:val="00F5014F"/>
    <w:rsid w:val="00F511B4"/>
    <w:rsid w:val="00F512AE"/>
    <w:rsid w:val="00F51D75"/>
    <w:rsid w:val="00F51E73"/>
    <w:rsid w:val="00F52AD1"/>
    <w:rsid w:val="00F53006"/>
    <w:rsid w:val="00F53297"/>
    <w:rsid w:val="00F536C3"/>
    <w:rsid w:val="00F54B0F"/>
    <w:rsid w:val="00F55211"/>
    <w:rsid w:val="00F57268"/>
    <w:rsid w:val="00F57418"/>
    <w:rsid w:val="00F61808"/>
    <w:rsid w:val="00F62EFE"/>
    <w:rsid w:val="00F63AA1"/>
    <w:rsid w:val="00F6549E"/>
    <w:rsid w:val="00F65533"/>
    <w:rsid w:val="00F660E1"/>
    <w:rsid w:val="00F66E65"/>
    <w:rsid w:val="00F672EE"/>
    <w:rsid w:val="00F709B0"/>
    <w:rsid w:val="00F70B22"/>
    <w:rsid w:val="00F70FF5"/>
    <w:rsid w:val="00F71A0B"/>
    <w:rsid w:val="00F72CFC"/>
    <w:rsid w:val="00F72F79"/>
    <w:rsid w:val="00F756F2"/>
    <w:rsid w:val="00F76133"/>
    <w:rsid w:val="00F77E70"/>
    <w:rsid w:val="00F80002"/>
    <w:rsid w:val="00F81C5F"/>
    <w:rsid w:val="00F81F4A"/>
    <w:rsid w:val="00F81F69"/>
    <w:rsid w:val="00F83BE2"/>
    <w:rsid w:val="00F86D7A"/>
    <w:rsid w:val="00F87309"/>
    <w:rsid w:val="00F907E0"/>
    <w:rsid w:val="00F90A93"/>
    <w:rsid w:val="00F91524"/>
    <w:rsid w:val="00F91AF3"/>
    <w:rsid w:val="00F92488"/>
    <w:rsid w:val="00F92741"/>
    <w:rsid w:val="00F92A67"/>
    <w:rsid w:val="00F9374B"/>
    <w:rsid w:val="00F93A53"/>
    <w:rsid w:val="00F95991"/>
    <w:rsid w:val="00F95E31"/>
    <w:rsid w:val="00F95E38"/>
    <w:rsid w:val="00F9716F"/>
    <w:rsid w:val="00F9771E"/>
    <w:rsid w:val="00FA0937"/>
    <w:rsid w:val="00FA2E23"/>
    <w:rsid w:val="00FA31F5"/>
    <w:rsid w:val="00FA36B3"/>
    <w:rsid w:val="00FA37BF"/>
    <w:rsid w:val="00FA4476"/>
    <w:rsid w:val="00FA4E7F"/>
    <w:rsid w:val="00FA5899"/>
    <w:rsid w:val="00FA6A3E"/>
    <w:rsid w:val="00FA6F63"/>
    <w:rsid w:val="00FA72F7"/>
    <w:rsid w:val="00FB077E"/>
    <w:rsid w:val="00FB086A"/>
    <w:rsid w:val="00FB0F01"/>
    <w:rsid w:val="00FB10CD"/>
    <w:rsid w:val="00FB1682"/>
    <w:rsid w:val="00FB25B8"/>
    <w:rsid w:val="00FB26B8"/>
    <w:rsid w:val="00FB35BF"/>
    <w:rsid w:val="00FB4250"/>
    <w:rsid w:val="00FB45E3"/>
    <w:rsid w:val="00FB506C"/>
    <w:rsid w:val="00FB515A"/>
    <w:rsid w:val="00FB657B"/>
    <w:rsid w:val="00FC0884"/>
    <w:rsid w:val="00FC0CDE"/>
    <w:rsid w:val="00FC15EA"/>
    <w:rsid w:val="00FC1C80"/>
    <w:rsid w:val="00FC5E8C"/>
    <w:rsid w:val="00FC64CF"/>
    <w:rsid w:val="00FC6CC4"/>
    <w:rsid w:val="00FC7165"/>
    <w:rsid w:val="00FC747E"/>
    <w:rsid w:val="00FC764B"/>
    <w:rsid w:val="00FC7A61"/>
    <w:rsid w:val="00FD03AF"/>
    <w:rsid w:val="00FD08D2"/>
    <w:rsid w:val="00FD0E6D"/>
    <w:rsid w:val="00FD5D05"/>
    <w:rsid w:val="00FD77A4"/>
    <w:rsid w:val="00FD7F9F"/>
    <w:rsid w:val="00FE0815"/>
    <w:rsid w:val="00FE1DEC"/>
    <w:rsid w:val="00FE1E99"/>
    <w:rsid w:val="00FE41EF"/>
    <w:rsid w:val="00FE42C9"/>
    <w:rsid w:val="00FE5021"/>
    <w:rsid w:val="00FE56C3"/>
    <w:rsid w:val="00FE6DB7"/>
    <w:rsid w:val="00FE6DF3"/>
    <w:rsid w:val="00FF1474"/>
    <w:rsid w:val="00FF1CFA"/>
    <w:rsid w:val="00FF3A58"/>
    <w:rsid w:val="00FF3CAC"/>
    <w:rsid w:val="00FF4A3A"/>
    <w:rsid w:val="00FF511F"/>
    <w:rsid w:val="00FF55E3"/>
    <w:rsid w:val="00FF5955"/>
    <w:rsid w:val="00FF6268"/>
    <w:rsid w:val="00FF65EE"/>
    <w:rsid w:val="00FF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DC3C9"/>
  <w15:chartTrackingRefBased/>
  <w15:docId w15:val="{7EBDAC31-03DF-44E0-820E-785AB100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C1"/>
    <w:rPr>
      <w:spacing w:val="-3"/>
      <w:sz w:val="24"/>
    </w:rPr>
  </w:style>
  <w:style w:type="paragraph" w:styleId="Heading1">
    <w:name w:val="heading 1"/>
    <w:basedOn w:val="Normal"/>
    <w:next w:val="Normal2"/>
    <w:link w:val="Heading1Char"/>
    <w:autoRedefine/>
    <w:qFormat/>
    <w:rsid w:val="0021329F"/>
    <w:pPr>
      <w:keepNext/>
      <w:widowControl w:val="0"/>
      <w:autoSpaceDE w:val="0"/>
      <w:autoSpaceDN w:val="0"/>
      <w:adjustRightInd w:val="0"/>
      <w:spacing w:before="240" w:after="240"/>
      <w:jc w:val="center"/>
      <w:outlineLvl w:val="0"/>
    </w:pPr>
    <w:rPr>
      <w:rFonts w:cs="Arial"/>
      <w:b/>
      <w:bCs/>
      <w:caps/>
      <w:kern w:val="32"/>
      <w:szCs w:val="32"/>
      <w:shd w:val="clear" w:color="auto" w:fill="F0F0F0"/>
    </w:rPr>
  </w:style>
  <w:style w:type="paragraph" w:styleId="Heading2">
    <w:name w:val="heading 2"/>
    <w:basedOn w:val="Normal"/>
    <w:next w:val="Normal2"/>
    <w:link w:val="Heading2Char"/>
    <w:autoRedefine/>
    <w:qFormat/>
    <w:rsid w:val="00935154"/>
    <w:pPr>
      <w:keepNext/>
      <w:widowControl w:val="0"/>
      <w:autoSpaceDE w:val="0"/>
      <w:autoSpaceDN w:val="0"/>
      <w:adjustRightInd w:val="0"/>
      <w:spacing w:before="240" w:after="240"/>
      <w:jc w:val="right"/>
      <w:outlineLvl w:val="1"/>
    </w:pPr>
    <w:rPr>
      <w:rFonts w:cs="Arial"/>
      <w:b/>
      <w:bCs/>
      <w:szCs w:val="28"/>
    </w:rPr>
  </w:style>
  <w:style w:type="paragraph" w:styleId="Heading3">
    <w:name w:val="heading 3"/>
    <w:basedOn w:val="Normal"/>
    <w:next w:val="Normal2"/>
    <w:link w:val="Heading3Char"/>
    <w:autoRedefine/>
    <w:qFormat/>
    <w:rsid w:val="004E2308"/>
    <w:pPr>
      <w:keepNext/>
      <w:spacing w:before="240" w:after="240"/>
      <w:ind w:left="1440"/>
      <w:outlineLvl w:val="2"/>
    </w:pPr>
    <w:rPr>
      <w:b/>
    </w:rPr>
  </w:style>
  <w:style w:type="paragraph" w:styleId="Heading4">
    <w:name w:val="heading 4"/>
    <w:basedOn w:val="Normal"/>
    <w:next w:val="Normal2"/>
    <w:link w:val="Heading4Char"/>
    <w:autoRedefine/>
    <w:qFormat/>
    <w:rsid w:val="00471650"/>
    <w:pPr>
      <w:keepNext/>
      <w:spacing w:before="120" w:after="120"/>
      <w:ind w:left="1701" w:hanging="2127"/>
      <w:jc w:val="center"/>
      <w:outlineLvl w:val="3"/>
    </w:pPr>
    <w:rPr>
      <w:b/>
      <w:iCs/>
      <w:caps/>
      <w:color w:val="000000"/>
      <w:szCs w:val="24"/>
      <w:shd w:val="clear" w:color="auto" w:fill="F7F7F7"/>
    </w:rPr>
  </w:style>
  <w:style w:type="paragraph" w:styleId="Heading5">
    <w:name w:val="heading 5"/>
    <w:basedOn w:val="Normal"/>
    <w:next w:val="Normal"/>
    <w:link w:val="Heading5Char"/>
    <w:qFormat/>
    <w:rsid w:val="004E2308"/>
    <w:pPr>
      <w:numPr>
        <w:ilvl w:val="4"/>
        <w:numId w:val="1"/>
      </w:num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qFormat/>
    <w:rsid w:val="004E2308"/>
    <w:pPr>
      <w:spacing w:before="120" w:after="120"/>
      <w:jc w:val="both"/>
    </w:pPr>
  </w:style>
  <w:style w:type="paragraph" w:customStyle="1" w:styleId="Consult">
    <w:name w:val="Consult"/>
    <w:basedOn w:val="Normal2"/>
    <w:next w:val="Normal2"/>
    <w:rsid w:val="004E2308"/>
    <w:pPr>
      <w:ind w:left="720" w:hanging="720"/>
    </w:pPr>
    <w:rPr>
      <w:rFonts w:ascii="Arial" w:hAnsi="Arial"/>
    </w:rPr>
  </w:style>
  <w:style w:type="paragraph" w:customStyle="1" w:styleId="Consult2">
    <w:name w:val="Consult2"/>
    <w:basedOn w:val="Consult"/>
    <w:next w:val="Normal2"/>
    <w:autoRedefine/>
    <w:rsid w:val="004E2308"/>
    <w:pPr>
      <w:ind w:firstLine="0"/>
    </w:pPr>
    <w:rPr>
      <w:sz w:val="20"/>
    </w:rPr>
  </w:style>
  <w:style w:type="paragraph" w:styleId="Footer">
    <w:name w:val="footer"/>
    <w:basedOn w:val="Normal"/>
    <w:link w:val="FooterChar"/>
    <w:rsid w:val="004E2308"/>
    <w:pPr>
      <w:tabs>
        <w:tab w:val="center" w:pos="4320"/>
        <w:tab w:val="right" w:pos="8640"/>
      </w:tabs>
    </w:pPr>
  </w:style>
  <w:style w:type="character" w:customStyle="1" w:styleId="FooterChar">
    <w:name w:val="Footer Char"/>
    <w:basedOn w:val="DefaultParagraphFont"/>
    <w:link w:val="Footer"/>
    <w:rsid w:val="002C5BC8"/>
    <w:rPr>
      <w:rFonts w:ascii="Times New Roman" w:hAnsi="Times New Roman" w:cs="Times New Roman"/>
      <w:sz w:val="24"/>
      <w:szCs w:val="20"/>
      <w:lang w:eastAsia="en-GB"/>
    </w:rPr>
  </w:style>
  <w:style w:type="paragraph" w:styleId="Header">
    <w:name w:val="header"/>
    <w:basedOn w:val="Normal"/>
    <w:link w:val="HeaderChar"/>
    <w:rsid w:val="004E2308"/>
    <w:pPr>
      <w:tabs>
        <w:tab w:val="center" w:pos="4320"/>
        <w:tab w:val="right" w:pos="8640"/>
      </w:tabs>
    </w:pPr>
  </w:style>
  <w:style w:type="character" w:customStyle="1" w:styleId="HeaderChar">
    <w:name w:val="Header Char"/>
    <w:basedOn w:val="DefaultParagraphFont"/>
    <w:link w:val="Header"/>
    <w:rsid w:val="002C5BC8"/>
    <w:rPr>
      <w:rFonts w:ascii="Times New Roman" w:hAnsi="Times New Roman" w:cs="Times New Roman"/>
      <w:sz w:val="24"/>
      <w:szCs w:val="20"/>
      <w:lang w:eastAsia="en-GB"/>
    </w:rPr>
  </w:style>
  <w:style w:type="character" w:customStyle="1" w:styleId="Heading1Char">
    <w:name w:val="Heading 1 Char"/>
    <w:basedOn w:val="DefaultParagraphFont"/>
    <w:link w:val="Heading1"/>
    <w:rsid w:val="0021329F"/>
    <w:rPr>
      <w:rFonts w:cs="Arial"/>
      <w:b/>
      <w:bCs/>
      <w:caps/>
      <w:spacing w:val="-3"/>
      <w:kern w:val="32"/>
      <w:sz w:val="24"/>
      <w:szCs w:val="32"/>
    </w:rPr>
  </w:style>
  <w:style w:type="character" w:customStyle="1" w:styleId="Heading2Char">
    <w:name w:val="Heading 2 Char"/>
    <w:basedOn w:val="DefaultParagraphFont"/>
    <w:link w:val="Heading2"/>
    <w:rsid w:val="00935154"/>
    <w:rPr>
      <w:rFonts w:cs="Arial"/>
      <w:b/>
      <w:bCs/>
      <w:spacing w:val="-3"/>
      <w:sz w:val="24"/>
      <w:szCs w:val="28"/>
    </w:rPr>
  </w:style>
  <w:style w:type="character" w:customStyle="1" w:styleId="Heading3Char">
    <w:name w:val="Heading 3 Char"/>
    <w:basedOn w:val="DefaultParagraphFont"/>
    <w:link w:val="Heading3"/>
    <w:rsid w:val="002C5BC8"/>
    <w:rPr>
      <w:rFonts w:ascii="Times New Roman" w:hAnsi="Times New Roman" w:cs="Times New Roman"/>
      <w:b/>
      <w:sz w:val="24"/>
      <w:szCs w:val="20"/>
      <w:lang w:eastAsia="en-GB"/>
    </w:rPr>
  </w:style>
  <w:style w:type="character" w:customStyle="1" w:styleId="Heading4Char">
    <w:name w:val="Heading 4 Char"/>
    <w:basedOn w:val="DefaultParagraphFont"/>
    <w:link w:val="Heading4"/>
    <w:rsid w:val="00471650"/>
    <w:rPr>
      <w:b/>
      <w:iCs/>
      <w:caps/>
      <w:color w:val="000000"/>
      <w:spacing w:val="-3"/>
      <w:sz w:val="24"/>
      <w:szCs w:val="24"/>
    </w:rPr>
  </w:style>
  <w:style w:type="character" w:customStyle="1" w:styleId="Heading5Char">
    <w:name w:val="Heading 5 Char"/>
    <w:basedOn w:val="DefaultParagraphFont"/>
    <w:link w:val="Heading5"/>
    <w:rsid w:val="002C5BC8"/>
    <w:rPr>
      <w:rFonts w:ascii="Arial" w:hAnsi="Arial"/>
      <w:spacing w:val="-3"/>
      <w:sz w:val="22"/>
    </w:rPr>
  </w:style>
  <w:style w:type="paragraph" w:customStyle="1" w:styleId="Norm18space">
    <w:name w:val="Norm+18space"/>
    <w:basedOn w:val="Normal"/>
    <w:next w:val="Normal"/>
    <w:rsid w:val="004E2308"/>
    <w:pPr>
      <w:ind w:left="720" w:hanging="720"/>
    </w:pPr>
  </w:style>
  <w:style w:type="paragraph" w:customStyle="1" w:styleId="NormalBk">
    <w:name w:val="Normal_Bk"/>
    <w:basedOn w:val="Normal"/>
    <w:rsid w:val="004E2308"/>
    <w:rPr>
      <w:rFonts w:ascii="Book Antiqua" w:hAnsi="Book Antiqua"/>
    </w:rPr>
  </w:style>
  <w:style w:type="paragraph" w:customStyle="1" w:styleId="NormQuote">
    <w:name w:val="NormQuote"/>
    <w:basedOn w:val="Normal2"/>
    <w:next w:val="Normal2"/>
    <w:autoRedefine/>
    <w:qFormat/>
    <w:rsid w:val="00EF02F1"/>
    <w:pPr>
      <w:spacing w:after="240"/>
      <w:ind w:left="720"/>
    </w:pPr>
    <w:rPr>
      <w:szCs w:val="24"/>
    </w:rPr>
  </w:style>
  <w:style w:type="paragraph" w:customStyle="1" w:styleId="ORDNOQUO">
    <w:name w:val="ORD_NO_QUO"/>
    <w:basedOn w:val="Normal"/>
    <w:rsid w:val="004E2308"/>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ind w:left="1440" w:right="576"/>
      <w:jc w:val="both"/>
    </w:pPr>
  </w:style>
  <w:style w:type="paragraph" w:customStyle="1" w:styleId="ORDINNOSPACE">
    <w:name w:val="ORDIN_NO SPACE"/>
    <w:basedOn w:val="Normal"/>
    <w:rsid w:val="004E230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9"/>
      </w:tabs>
      <w:spacing w:line="480" w:lineRule="auto"/>
      <w:jc w:val="both"/>
    </w:pPr>
  </w:style>
  <w:style w:type="paragraph" w:customStyle="1" w:styleId="ORDINARY">
    <w:name w:val="ORDINARY"/>
    <w:basedOn w:val="Normal"/>
    <w:rsid w:val="004E2308"/>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after="120" w:line="480" w:lineRule="auto"/>
      <w:jc w:val="both"/>
    </w:pPr>
  </w:style>
  <w:style w:type="paragraph" w:styleId="Title">
    <w:name w:val="Title"/>
    <w:basedOn w:val="Normal"/>
    <w:link w:val="TitleChar"/>
    <w:qFormat/>
    <w:rsid w:val="004E2308"/>
    <w:pPr>
      <w:spacing w:before="180" w:after="180"/>
      <w:jc w:val="center"/>
    </w:pPr>
    <w:rPr>
      <w:rFonts w:ascii="Arial" w:hAnsi="Arial"/>
      <w:b/>
      <w:kern w:val="28"/>
      <w:sz w:val="32"/>
      <w:u w:val="single"/>
    </w:rPr>
  </w:style>
  <w:style w:type="character" w:customStyle="1" w:styleId="TitleChar">
    <w:name w:val="Title Char"/>
    <w:basedOn w:val="DefaultParagraphFont"/>
    <w:link w:val="Title"/>
    <w:rsid w:val="002C5BC8"/>
    <w:rPr>
      <w:rFonts w:ascii="Arial" w:hAnsi="Arial" w:cs="Times New Roman"/>
      <w:b/>
      <w:kern w:val="28"/>
      <w:sz w:val="32"/>
      <w:szCs w:val="20"/>
      <w:u w:val="single"/>
      <w:lang w:eastAsia="en-GB"/>
    </w:rPr>
  </w:style>
  <w:style w:type="paragraph" w:customStyle="1" w:styleId="Title1">
    <w:name w:val="Title1"/>
    <w:basedOn w:val="Normal"/>
    <w:next w:val="Normal"/>
    <w:rsid w:val="004E2308"/>
    <w:pPr>
      <w:tabs>
        <w:tab w:val="right" w:pos="9029"/>
      </w:tabs>
    </w:pPr>
  </w:style>
  <w:style w:type="paragraph" w:styleId="BalloonText">
    <w:name w:val="Balloon Text"/>
    <w:basedOn w:val="Normal"/>
    <w:link w:val="BalloonTextChar"/>
    <w:uiPriority w:val="99"/>
    <w:rsid w:val="004E2308"/>
    <w:rPr>
      <w:rFonts w:ascii="Segoe UI" w:hAnsi="Segoe UI" w:cs="Segoe UI"/>
      <w:sz w:val="18"/>
      <w:szCs w:val="18"/>
    </w:rPr>
  </w:style>
  <w:style w:type="character" w:customStyle="1" w:styleId="BalloonTextChar">
    <w:name w:val="Balloon Text Char"/>
    <w:basedOn w:val="DefaultParagraphFont"/>
    <w:link w:val="BalloonText"/>
    <w:uiPriority w:val="99"/>
    <w:rsid w:val="004E2308"/>
    <w:rPr>
      <w:rFonts w:ascii="Segoe UI" w:hAnsi="Segoe UI" w:cs="Segoe UI"/>
      <w:sz w:val="18"/>
      <w:szCs w:val="18"/>
      <w:lang w:eastAsia="en-GB"/>
    </w:rPr>
  </w:style>
  <w:style w:type="paragraph" w:customStyle="1" w:styleId="CoverDesc">
    <w:name w:val="CoverDesc"/>
    <w:basedOn w:val="Normal"/>
    <w:rsid w:val="004E2308"/>
    <w:pPr>
      <w:jc w:val="center"/>
    </w:pPr>
    <w:rPr>
      <w:b/>
      <w:sz w:val="36"/>
    </w:rPr>
  </w:style>
  <w:style w:type="paragraph" w:customStyle="1" w:styleId="CoverMain">
    <w:name w:val="CoverMain"/>
    <w:basedOn w:val="Normal"/>
    <w:rsid w:val="004E2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u w:val="single"/>
    </w:rPr>
  </w:style>
  <w:style w:type="paragraph" w:customStyle="1" w:styleId="CoverText">
    <w:name w:val="CoverText"/>
    <w:basedOn w:val="Normal"/>
    <w:rsid w:val="004E2308"/>
    <w:pPr>
      <w:jc w:val="right"/>
    </w:pPr>
    <w:rPr>
      <w:u w:val="single"/>
    </w:rPr>
  </w:style>
  <w:style w:type="paragraph" w:customStyle="1" w:styleId="eMailBlock">
    <w:name w:val="eMailBlock"/>
    <w:basedOn w:val="Title"/>
    <w:rsid w:val="004E2308"/>
    <w:rPr>
      <w:sz w:val="26"/>
    </w:rPr>
  </w:style>
  <w:style w:type="character" w:styleId="FootnoteReference">
    <w:name w:val="footnote reference"/>
    <w:basedOn w:val="DefaultParagraphFont"/>
    <w:rsid w:val="004E2308"/>
    <w:rPr>
      <w:vertAlign w:val="superscript"/>
    </w:rPr>
  </w:style>
  <w:style w:type="paragraph" w:styleId="FootnoteText">
    <w:name w:val="footnote text"/>
    <w:basedOn w:val="Normal"/>
    <w:link w:val="FootnoteTextChar"/>
    <w:rsid w:val="004E2308"/>
    <w:rPr>
      <w:sz w:val="20"/>
    </w:rPr>
  </w:style>
  <w:style w:type="character" w:customStyle="1" w:styleId="FootnoteTextChar">
    <w:name w:val="Footnote Text Char"/>
    <w:basedOn w:val="DefaultParagraphFont"/>
    <w:link w:val="FootnoteText"/>
    <w:rsid w:val="004E2308"/>
    <w:rPr>
      <w:rFonts w:ascii="Times New Roman" w:hAnsi="Times New Roman" w:cs="Times New Roman"/>
      <w:sz w:val="20"/>
      <w:szCs w:val="20"/>
      <w:lang w:eastAsia="en-GB"/>
    </w:rPr>
  </w:style>
  <w:style w:type="paragraph" w:customStyle="1" w:styleId="Heading">
    <w:name w:val="Heading"/>
    <w:basedOn w:val="Normal"/>
    <w:next w:val="Heading1"/>
    <w:rsid w:val="004E2308"/>
    <w:pPr>
      <w:keepNext/>
      <w:spacing w:before="240" w:after="240" w:line="480" w:lineRule="auto"/>
    </w:pPr>
  </w:style>
  <w:style w:type="character" w:styleId="Hyperlink">
    <w:name w:val="Hyperlink"/>
    <w:uiPriority w:val="99"/>
    <w:rsid w:val="004E2308"/>
    <w:rPr>
      <w:color w:val="0000FF"/>
      <w:u w:val="single"/>
    </w:rPr>
  </w:style>
  <w:style w:type="paragraph" w:styleId="ListParagraph">
    <w:name w:val="List Paragraph"/>
    <w:basedOn w:val="Normal"/>
    <w:uiPriority w:val="34"/>
    <w:qFormat/>
    <w:rsid w:val="004E2308"/>
    <w:pPr>
      <w:ind w:left="720"/>
      <w:contextualSpacing/>
    </w:pPr>
  </w:style>
  <w:style w:type="paragraph" w:customStyle="1" w:styleId="ParaHeading">
    <w:name w:val="ParaHeading"/>
    <w:basedOn w:val="Normal"/>
    <w:next w:val="Normal"/>
    <w:rsid w:val="004E2308"/>
    <w:pPr>
      <w:keepNext/>
      <w:spacing w:before="240" w:after="240"/>
    </w:pPr>
  </w:style>
  <w:style w:type="paragraph" w:customStyle="1" w:styleId="ParaLevel1">
    <w:name w:val="ParaLevel1"/>
    <w:basedOn w:val="Normal"/>
    <w:rsid w:val="004E2308"/>
    <w:pPr>
      <w:numPr>
        <w:numId w:val="2"/>
      </w:numPr>
      <w:suppressAutoHyphens/>
      <w:spacing w:before="240" w:after="240"/>
      <w:jc w:val="both"/>
      <w:outlineLvl w:val="0"/>
    </w:pPr>
  </w:style>
  <w:style w:type="paragraph" w:customStyle="1" w:styleId="ParaLevel2">
    <w:name w:val="ParaLevel2"/>
    <w:basedOn w:val="Normal"/>
    <w:rsid w:val="004E2308"/>
    <w:pPr>
      <w:numPr>
        <w:ilvl w:val="1"/>
        <w:numId w:val="2"/>
      </w:numPr>
      <w:suppressAutoHyphens/>
      <w:spacing w:before="240" w:after="240"/>
      <w:jc w:val="both"/>
      <w:outlineLvl w:val="1"/>
    </w:pPr>
  </w:style>
  <w:style w:type="paragraph" w:customStyle="1" w:styleId="ParaLevel3">
    <w:name w:val="ParaLevel3"/>
    <w:basedOn w:val="Normal"/>
    <w:rsid w:val="004E2308"/>
    <w:pPr>
      <w:numPr>
        <w:ilvl w:val="2"/>
        <w:numId w:val="2"/>
      </w:numPr>
      <w:suppressAutoHyphens/>
      <w:spacing w:before="240" w:after="240"/>
      <w:jc w:val="both"/>
      <w:outlineLvl w:val="2"/>
    </w:pPr>
  </w:style>
  <w:style w:type="paragraph" w:customStyle="1" w:styleId="ParaLevel4">
    <w:name w:val="ParaLevel4"/>
    <w:basedOn w:val="Normal"/>
    <w:rsid w:val="004E2308"/>
    <w:pPr>
      <w:numPr>
        <w:ilvl w:val="3"/>
        <w:numId w:val="2"/>
      </w:numPr>
      <w:suppressAutoHyphens/>
      <w:spacing w:before="240" w:after="240"/>
      <w:jc w:val="both"/>
      <w:outlineLvl w:val="3"/>
    </w:pPr>
  </w:style>
  <w:style w:type="paragraph" w:customStyle="1" w:styleId="ParaLevel5">
    <w:name w:val="ParaLevel5"/>
    <w:basedOn w:val="Normal"/>
    <w:rsid w:val="004E2308"/>
    <w:pPr>
      <w:numPr>
        <w:ilvl w:val="4"/>
        <w:numId w:val="2"/>
      </w:numPr>
      <w:suppressAutoHyphens/>
      <w:spacing w:before="240" w:after="240"/>
      <w:jc w:val="both"/>
      <w:outlineLvl w:val="4"/>
    </w:pPr>
  </w:style>
  <w:style w:type="paragraph" w:customStyle="1" w:styleId="ParaLevel6">
    <w:name w:val="ParaLevel6"/>
    <w:basedOn w:val="Normal"/>
    <w:rsid w:val="004E2308"/>
    <w:pPr>
      <w:numPr>
        <w:ilvl w:val="5"/>
        <w:numId w:val="2"/>
      </w:numPr>
      <w:suppressAutoHyphens/>
      <w:spacing w:before="240" w:after="240"/>
      <w:jc w:val="both"/>
      <w:outlineLvl w:val="5"/>
    </w:pPr>
  </w:style>
  <w:style w:type="paragraph" w:customStyle="1" w:styleId="ParaLevel7">
    <w:name w:val="ParaLevel7"/>
    <w:basedOn w:val="Normal"/>
    <w:rsid w:val="004E2308"/>
    <w:pPr>
      <w:numPr>
        <w:ilvl w:val="6"/>
        <w:numId w:val="2"/>
      </w:numPr>
      <w:suppressAutoHyphens/>
      <w:spacing w:before="240" w:after="240"/>
      <w:jc w:val="both"/>
      <w:outlineLvl w:val="6"/>
    </w:pPr>
  </w:style>
  <w:style w:type="paragraph" w:customStyle="1" w:styleId="ParaLevel8">
    <w:name w:val="ParaLevel8"/>
    <w:basedOn w:val="Normal"/>
    <w:rsid w:val="004E2308"/>
    <w:pPr>
      <w:numPr>
        <w:ilvl w:val="7"/>
        <w:numId w:val="2"/>
      </w:numPr>
      <w:suppressAutoHyphens/>
      <w:spacing w:before="240" w:after="240"/>
      <w:jc w:val="both"/>
      <w:outlineLvl w:val="7"/>
    </w:pPr>
  </w:style>
  <w:style w:type="paragraph" w:customStyle="1" w:styleId="ParaLevel9">
    <w:name w:val="ParaLevel9"/>
    <w:basedOn w:val="Normal"/>
    <w:rsid w:val="004E2308"/>
    <w:pPr>
      <w:numPr>
        <w:ilvl w:val="8"/>
        <w:numId w:val="2"/>
      </w:numPr>
      <w:suppressAutoHyphens/>
      <w:spacing w:before="240" w:after="240"/>
      <w:jc w:val="both"/>
      <w:outlineLvl w:val="8"/>
    </w:pPr>
  </w:style>
  <w:style w:type="paragraph" w:customStyle="1" w:styleId="ParaNoNumber">
    <w:name w:val="ParaNoNumber"/>
    <w:basedOn w:val="Normal"/>
    <w:next w:val="ParaLevel1"/>
    <w:rsid w:val="004E2308"/>
    <w:pPr>
      <w:spacing w:before="240" w:after="240"/>
      <w:jc w:val="both"/>
    </w:pPr>
  </w:style>
  <w:style w:type="paragraph" w:styleId="Quote">
    <w:name w:val="Quote"/>
    <w:basedOn w:val="Normal"/>
    <w:next w:val="ParaLevel1"/>
    <w:link w:val="QuoteChar"/>
    <w:uiPriority w:val="29"/>
    <w:qFormat/>
    <w:rsid w:val="004E2308"/>
    <w:pPr>
      <w:spacing w:after="240"/>
      <w:ind w:left="1440" w:right="1440"/>
      <w:jc w:val="both"/>
    </w:pPr>
  </w:style>
  <w:style w:type="character" w:customStyle="1" w:styleId="QuoteChar">
    <w:name w:val="Quote Char"/>
    <w:basedOn w:val="DefaultParagraphFont"/>
    <w:link w:val="Quote"/>
    <w:uiPriority w:val="29"/>
    <w:rsid w:val="004E2308"/>
    <w:rPr>
      <w:rFonts w:ascii="Times New Roman" w:hAnsi="Times New Roman" w:cs="Times New Roman"/>
      <w:sz w:val="24"/>
      <w:szCs w:val="20"/>
      <w:lang w:eastAsia="en-GB"/>
    </w:rPr>
  </w:style>
  <w:style w:type="table" w:styleId="TableGrid">
    <w:name w:val="Table Grid"/>
    <w:basedOn w:val="TableNormal"/>
    <w:rsid w:val="004E230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52AC1"/>
  </w:style>
  <w:style w:type="table" w:styleId="PlainTable3">
    <w:name w:val="Plain Table 3"/>
    <w:basedOn w:val="TableNormal"/>
    <w:uiPriority w:val="43"/>
    <w:rsid w:val="00752AC1"/>
    <w:rPr>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243270"/>
    <w:pPr>
      <w:widowControl w:val="0"/>
      <w:autoSpaceDE w:val="0"/>
      <w:autoSpaceDN w:val="0"/>
    </w:pPr>
    <w:rPr>
      <w:rFonts w:ascii="Calibri" w:eastAsia="Calibri" w:hAnsi="Calibri" w:cs="Calibri"/>
      <w:spacing w:val="0"/>
      <w:sz w:val="22"/>
      <w:szCs w:val="22"/>
      <w:lang w:eastAsia="en-GB" w:bidi="en-GB"/>
    </w:rPr>
  </w:style>
  <w:style w:type="character" w:customStyle="1" w:styleId="BodyTextChar">
    <w:name w:val="Body Text Char"/>
    <w:basedOn w:val="DefaultParagraphFont"/>
    <w:link w:val="BodyText"/>
    <w:uiPriority w:val="1"/>
    <w:rsid w:val="00243270"/>
    <w:rPr>
      <w:rFonts w:ascii="Calibri" w:eastAsia="Calibri" w:hAnsi="Calibri" w:cs="Calibri"/>
      <w:sz w:val="22"/>
      <w:szCs w:val="22"/>
      <w:lang w:eastAsia="en-GB" w:bidi="en-GB"/>
    </w:rPr>
  </w:style>
  <w:style w:type="character" w:styleId="UnresolvedMention">
    <w:name w:val="Unresolved Mention"/>
    <w:basedOn w:val="DefaultParagraphFont"/>
    <w:uiPriority w:val="99"/>
    <w:semiHidden/>
    <w:unhideWhenUsed/>
    <w:rsid w:val="00EB63F6"/>
    <w:rPr>
      <w:color w:val="605E5C"/>
      <w:shd w:val="clear" w:color="auto" w:fill="E1DFDD"/>
    </w:rPr>
  </w:style>
  <w:style w:type="paragraph" w:customStyle="1" w:styleId="Default">
    <w:name w:val="Default"/>
    <w:rsid w:val="00A7446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10B3B"/>
    <w:rPr>
      <w:spacing w:val="-3"/>
      <w:sz w:val="24"/>
    </w:rPr>
  </w:style>
  <w:style w:type="character" w:styleId="CommentReference">
    <w:name w:val="annotation reference"/>
    <w:basedOn w:val="DefaultParagraphFont"/>
    <w:uiPriority w:val="99"/>
    <w:semiHidden/>
    <w:unhideWhenUsed/>
    <w:rsid w:val="00934BE9"/>
    <w:rPr>
      <w:sz w:val="16"/>
      <w:szCs w:val="16"/>
    </w:rPr>
  </w:style>
  <w:style w:type="paragraph" w:styleId="CommentText">
    <w:name w:val="annotation text"/>
    <w:basedOn w:val="Normal"/>
    <w:link w:val="CommentTextChar"/>
    <w:uiPriority w:val="99"/>
    <w:semiHidden/>
    <w:unhideWhenUsed/>
    <w:rsid w:val="00934BE9"/>
    <w:rPr>
      <w:sz w:val="20"/>
    </w:rPr>
  </w:style>
  <w:style w:type="character" w:customStyle="1" w:styleId="CommentTextChar">
    <w:name w:val="Comment Text Char"/>
    <w:basedOn w:val="DefaultParagraphFont"/>
    <w:link w:val="CommentText"/>
    <w:uiPriority w:val="99"/>
    <w:semiHidden/>
    <w:rsid w:val="00934BE9"/>
    <w:rPr>
      <w:spacing w:val="-3"/>
    </w:rPr>
  </w:style>
  <w:style w:type="paragraph" w:styleId="CommentSubject">
    <w:name w:val="annotation subject"/>
    <w:basedOn w:val="CommentText"/>
    <w:next w:val="CommentText"/>
    <w:link w:val="CommentSubjectChar"/>
    <w:uiPriority w:val="99"/>
    <w:semiHidden/>
    <w:unhideWhenUsed/>
    <w:rsid w:val="00934BE9"/>
    <w:rPr>
      <w:b/>
      <w:bCs/>
    </w:rPr>
  </w:style>
  <w:style w:type="character" w:customStyle="1" w:styleId="CommentSubjectChar">
    <w:name w:val="Comment Subject Char"/>
    <w:basedOn w:val="CommentTextChar"/>
    <w:link w:val="CommentSubject"/>
    <w:uiPriority w:val="99"/>
    <w:semiHidden/>
    <w:rsid w:val="00934BE9"/>
    <w:rPr>
      <w:b/>
      <w:bCs/>
      <w:spacing w:val="-3"/>
    </w:rPr>
  </w:style>
  <w:style w:type="character" w:customStyle="1" w:styleId="cofootnotenode">
    <w:name w:val="co_footnotenode"/>
    <w:basedOn w:val="DefaultParagraphFont"/>
    <w:rsid w:val="00F92741"/>
  </w:style>
  <w:style w:type="paragraph" w:customStyle="1" w:styleId="Paranumbering">
    <w:name w:val="Para numbering"/>
    <w:basedOn w:val="Normal"/>
    <w:link w:val="ParanumberingChar"/>
    <w:qFormat/>
    <w:rsid w:val="00CB0373"/>
    <w:pPr>
      <w:numPr>
        <w:numId w:val="3"/>
      </w:numPr>
      <w:tabs>
        <w:tab w:val="left" w:pos="567"/>
      </w:tabs>
      <w:spacing w:line="360" w:lineRule="auto"/>
      <w:ind w:left="0" w:firstLine="0"/>
    </w:pPr>
    <w:rPr>
      <w:spacing w:val="0"/>
      <w:szCs w:val="24"/>
      <w:lang w:eastAsia="zh-TW"/>
    </w:rPr>
  </w:style>
  <w:style w:type="character" w:customStyle="1" w:styleId="ParanumberingChar">
    <w:name w:val="Para numbering Char"/>
    <w:link w:val="Paranumbering"/>
    <w:rsid w:val="00CB0373"/>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6526">
      <w:bodyDiv w:val="1"/>
      <w:marLeft w:val="0"/>
      <w:marRight w:val="0"/>
      <w:marTop w:val="0"/>
      <w:marBottom w:val="0"/>
      <w:divBdr>
        <w:top w:val="none" w:sz="0" w:space="0" w:color="auto"/>
        <w:left w:val="none" w:sz="0" w:space="0" w:color="auto"/>
        <w:bottom w:val="none" w:sz="0" w:space="0" w:color="auto"/>
        <w:right w:val="none" w:sz="0" w:space="0" w:color="auto"/>
      </w:divBdr>
      <w:divsChild>
        <w:div w:id="1962952180">
          <w:marLeft w:val="0"/>
          <w:marRight w:val="0"/>
          <w:marTop w:val="0"/>
          <w:marBottom w:val="0"/>
          <w:divBdr>
            <w:top w:val="none" w:sz="0" w:space="0" w:color="auto"/>
            <w:left w:val="none" w:sz="0" w:space="0" w:color="auto"/>
            <w:bottom w:val="none" w:sz="0" w:space="0" w:color="auto"/>
            <w:right w:val="none" w:sz="0" w:space="0" w:color="auto"/>
          </w:divBdr>
        </w:div>
        <w:div w:id="999116360">
          <w:marLeft w:val="0"/>
          <w:marRight w:val="0"/>
          <w:marTop w:val="0"/>
          <w:marBottom w:val="0"/>
          <w:divBdr>
            <w:top w:val="none" w:sz="0" w:space="0" w:color="auto"/>
            <w:left w:val="none" w:sz="0" w:space="0" w:color="auto"/>
            <w:bottom w:val="none" w:sz="0" w:space="0" w:color="auto"/>
            <w:right w:val="none" w:sz="0" w:space="0" w:color="auto"/>
          </w:divBdr>
        </w:div>
        <w:div w:id="1333340124">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sChild>
    </w:div>
    <w:div w:id="437336577">
      <w:bodyDiv w:val="1"/>
      <w:marLeft w:val="0"/>
      <w:marRight w:val="0"/>
      <w:marTop w:val="0"/>
      <w:marBottom w:val="0"/>
      <w:divBdr>
        <w:top w:val="none" w:sz="0" w:space="0" w:color="auto"/>
        <w:left w:val="none" w:sz="0" w:space="0" w:color="auto"/>
        <w:bottom w:val="none" w:sz="0" w:space="0" w:color="auto"/>
        <w:right w:val="none" w:sz="0" w:space="0" w:color="auto"/>
      </w:divBdr>
    </w:div>
    <w:div w:id="819732785">
      <w:bodyDiv w:val="1"/>
      <w:marLeft w:val="0"/>
      <w:marRight w:val="0"/>
      <w:marTop w:val="0"/>
      <w:marBottom w:val="0"/>
      <w:divBdr>
        <w:top w:val="none" w:sz="0" w:space="0" w:color="auto"/>
        <w:left w:val="none" w:sz="0" w:space="0" w:color="auto"/>
        <w:bottom w:val="none" w:sz="0" w:space="0" w:color="auto"/>
        <w:right w:val="none" w:sz="0" w:space="0" w:color="auto"/>
      </w:divBdr>
      <w:divsChild>
        <w:div w:id="397637200">
          <w:marLeft w:val="0"/>
          <w:marRight w:val="0"/>
          <w:marTop w:val="0"/>
          <w:marBottom w:val="0"/>
          <w:divBdr>
            <w:top w:val="none" w:sz="0" w:space="0" w:color="auto"/>
            <w:left w:val="none" w:sz="0" w:space="0" w:color="auto"/>
            <w:bottom w:val="none" w:sz="0" w:space="0" w:color="auto"/>
            <w:right w:val="none" w:sz="0" w:space="0" w:color="auto"/>
          </w:divBdr>
          <w:divsChild>
            <w:div w:id="1040939838">
              <w:marLeft w:val="0"/>
              <w:marRight w:val="0"/>
              <w:marTop w:val="0"/>
              <w:marBottom w:val="0"/>
              <w:divBdr>
                <w:top w:val="none" w:sz="0" w:space="0" w:color="auto"/>
                <w:left w:val="none" w:sz="0" w:space="0" w:color="auto"/>
                <w:bottom w:val="none" w:sz="0" w:space="0" w:color="auto"/>
                <w:right w:val="none" w:sz="0" w:space="0" w:color="auto"/>
              </w:divBdr>
            </w:div>
            <w:div w:id="955481601">
              <w:marLeft w:val="0"/>
              <w:marRight w:val="0"/>
              <w:marTop w:val="0"/>
              <w:marBottom w:val="0"/>
              <w:divBdr>
                <w:top w:val="none" w:sz="0" w:space="0" w:color="auto"/>
                <w:left w:val="none" w:sz="0" w:space="0" w:color="auto"/>
                <w:bottom w:val="none" w:sz="0" w:space="0" w:color="auto"/>
                <w:right w:val="none" w:sz="0" w:space="0" w:color="auto"/>
              </w:divBdr>
            </w:div>
          </w:divsChild>
        </w:div>
        <w:div w:id="1630430773">
          <w:marLeft w:val="0"/>
          <w:marRight w:val="0"/>
          <w:marTop w:val="0"/>
          <w:marBottom w:val="0"/>
          <w:divBdr>
            <w:top w:val="none" w:sz="0" w:space="0" w:color="auto"/>
            <w:left w:val="none" w:sz="0" w:space="0" w:color="auto"/>
            <w:bottom w:val="none" w:sz="0" w:space="0" w:color="auto"/>
            <w:right w:val="none" w:sz="0" w:space="0" w:color="auto"/>
          </w:divBdr>
          <w:divsChild>
            <w:div w:id="334958373">
              <w:marLeft w:val="0"/>
              <w:marRight w:val="0"/>
              <w:marTop w:val="0"/>
              <w:marBottom w:val="0"/>
              <w:divBdr>
                <w:top w:val="none" w:sz="0" w:space="0" w:color="auto"/>
                <w:left w:val="none" w:sz="0" w:space="0" w:color="auto"/>
                <w:bottom w:val="none" w:sz="0" w:space="0" w:color="auto"/>
                <w:right w:val="none" w:sz="0" w:space="0" w:color="auto"/>
              </w:divBdr>
            </w:div>
            <w:div w:id="273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97885">
      <w:bodyDiv w:val="1"/>
      <w:marLeft w:val="0"/>
      <w:marRight w:val="0"/>
      <w:marTop w:val="0"/>
      <w:marBottom w:val="0"/>
      <w:divBdr>
        <w:top w:val="none" w:sz="0" w:space="0" w:color="auto"/>
        <w:left w:val="none" w:sz="0" w:space="0" w:color="auto"/>
        <w:bottom w:val="none" w:sz="0" w:space="0" w:color="auto"/>
        <w:right w:val="none" w:sz="0" w:space="0" w:color="auto"/>
      </w:divBdr>
      <w:divsChild>
        <w:div w:id="613250778">
          <w:marLeft w:val="0"/>
          <w:marRight w:val="0"/>
          <w:marTop w:val="0"/>
          <w:marBottom w:val="0"/>
          <w:divBdr>
            <w:top w:val="none" w:sz="0" w:space="0" w:color="auto"/>
            <w:left w:val="none" w:sz="0" w:space="0" w:color="auto"/>
            <w:bottom w:val="none" w:sz="0" w:space="0" w:color="auto"/>
            <w:right w:val="none" w:sz="0" w:space="0" w:color="auto"/>
          </w:divBdr>
        </w:div>
        <w:div w:id="883759538">
          <w:marLeft w:val="0"/>
          <w:marRight w:val="0"/>
          <w:marTop w:val="0"/>
          <w:marBottom w:val="0"/>
          <w:divBdr>
            <w:top w:val="none" w:sz="0" w:space="0" w:color="auto"/>
            <w:left w:val="none" w:sz="0" w:space="0" w:color="auto"/>
            <w:bottom w:val="none" w:sz="0" w:space="0" w:color="auto"/>
            <w:right w:val="none" w:sz="0" w:space="0" w:color="auto"/>
          </w:divBdr>
        </w:div>
        <w:div w:id="1485392402">
          <w:marLeft w:val="0"/>
          <w:marRight w:val="0"/>
          <w:marTop w:val="0"/>
          <w:marBottom w:val="0"/>
          <w:divBdr>
            <w:top w:val="none" w:sz="0" w:space="0" w:color="auto"/>
            <w:left w:val="none" w:sz="0" w:space="0" w:color="auto"/>
            <w:bottom w:val="none" w:sz="0" w:space="0" w:color="auto"/>
            <w:right w:val="none" w:sz="0" w:space="0" w:color="auto"/>
          </w:divBdr>
        </w:div>
        <w:div w:id="751467781">
          <w:marLeft w:val="0"/>
          <w:marRight w:val="0"/>
          <w:marTop w:val="0"/>
          <w:marBottom w:val="0"/>
          <w:divBdr>
            <w:top w:val="none" w:sz="0" w:space="0" w:color="auto"/>
            <w:left w:val="none" w:sz="0" w:space="0" w:color="auto"/>
            <w:bottom w:val="none" w:sz="0" w:space="0" w:color="auto"/>
            <w:right w:val="none" w:sz="0" w:space="0" w:color="auto"/>
          </w:divBdr>
        </w:div>
      </w:divsChild>
    </w:div>
    <w:div w:id="1279069917">
      <w:bodyDiv w:val="1"/>
      <w:marLeft w:val="0"/>
      <w:marRight w:val="0"/>
      <w:marTop w:val="0"/>
      <w:marBottom w:val="0"/>
      <w:divBdr>
        <w:top w:val="none" w:sz="0" w:space="0" w:color="auto"/>
        <w:left w:val="none" w:sz="0" w:space="0" w:color="auto"/>
        <w:bottom w:val="none" w:sz="0" w:space="0" w:color="auto"/>
        <w:right w:val="none" w:sz="0" w:space="0" w:color="auto"/>
      </w:divBdr>
    </w:div>
    <w:div w:id="1533491931">
      <w:bodyDiv w:val="1"/>
      <w:marLeft w:val="0"/>
      <w:marRight w:val="0"/>
      <w:marTop w:val="0"/>
      <w:marBottom w:val="0"/>
      <w:divBdr>
        <w:top w:val="none" w:sz="0" w:space="0" w:color="auto"/>
        <w:left w:val="none" w:sz="0" w:space="0" w:color="auto"/>
        <w:bottom w:val="none" w:sz="0" w:space="0" w:color="auto"/>
        <w:right w:val="none" w:sz="0" w:space="0" w:color="auto"/>
      </w:divBdr>
    </w:div>
    <w:div w:id="1641417899">
      <w:bodyDiv w:val="1"/>
      <w:marLeft w:val="0"/>
      <w:marRight w:val="0"/>
      <w:marTop w:val="0"/>
      <w:marBottom w:val="0"/>
      <w:divBdr>
        <w:top w:val="none" w:sz="0" w:space="0" w:color="auto"/>
        <w:left w:val="none" w:sz="0" w:space="0" w:color="auto"/>
        <w:bottom w:val="none" w:sz="0" w:space="0" w:color="auto"/>
        <w:right w:val="none" w:sz="0" w:space="0" w:color="auto"/>
      </w:divBdr>
    </w:div>
    <w:div w:id="1671175022">
      <w:bodyDiv w:val="1"/>
      <w:marLeft w:val="0"/>
      <w:marRight w:val="0"/>
      <w:marTop w:val="0"/>
      <w:marBottom w:val="0"/>
      <w:divBdr>
        <w:top w:val="none" w:sz="0" w:space="0" w:color="auto"/>
        <w:left w:val="none" w:sz="0" w:space="0" w:color="auto"/>
        <w:bottom w:val="none" w:sz="0" w:space="0" w:color="auto"/>
        <w:right w:val="none" w:sz="0" w:space="0" w:color="auto"/>
      </w:divBdr>
    </w:div>
    <w:div w:id="1731224208">
      <w:bodyDiv w:val="1"/>
      <w:marLeft w:val="0"/>
      <w:marRight w:val="0"/>
      <w:marTop w:val="0"/>
      <w:marBottom w:val="0"/>
      <w:divBdr>
        <w:top w:val="none" w:sz="0" w:space="0" w:color="auto"/>
        <w:left w:val="none" w:sz="0" w:space="0" w:color="auto"/>
        <w:bottom w:val="none" w:sz="0" w:space="0" w:color="auto"/>
        <w:right w:val="none" w:sz="0" w:space="0" w:color="auto"/>
      </w:divBdr>
    </w:div>
    <w:div w:id="20554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7286E4BBBDC4EBA12C42111CD2D65" ma:contentTypeVersion="13" ma:contentTypeDescription="Create a new document." ma:contentTypeScope="" ma:versionID="08e1653a0551efbe5fc492257b4b0b61">
  <xsd:schema xmlns:xsd="http://www.w3.org/2001/XMLSchema" xmlns:xs="http://www.w3.org/2001/XMLSchema" xmlns:p="http://schemas.microsoft.com/office/2006/metadata/properties" xmlns:ns3="39b633de-8679-497d-82ac-99d9b608bae9" xmlns:ns4="4996b26b-7637-40b4-838c-f7b6072afddc" targetNamespace="http://schemas.microsoft.com/office/2006/metadata/properties" ma:root="true" ma:fieldsID="9ef121be625e99d6265bc8cbece0c835" ns3:_="" ns4:_="">
    <xsd:import namespace="39b633de-8679-497d-82ac-99d9b608bae9"/>
    <xsd:import namespace="4996b26b-7637-40b4-838c-f7b6072af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33de-8679-497d-82ac-99d9b608ba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6b26b-7637-40b4-838c-f7b6072af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BF840-6382-45E7-B87C-6DF82711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33de-8679-497d-82ac-99d9b608bae9"/>
    <ds:schemaRef ds:uri="4996b26b-7637-40b4-838c-f7b6072af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257D7-0FFA-47FC-8BC6-066B5D59DE0A}">
  <ds:schemaRefs>
    <ds:schemaRef ds:uri="http://schemas.microsoft.com/sharepoint/v3/contenttype/forms"/>
  </ds:schemaRefs>
</ds:datastoreItem>
</file>

<file path=customXml/itemProps3.xml><?xml version="1.0" encoding="utf-8"?>
<ds:datastoreItem xmlns:ds="http://schemas.openxmlformats.org/officeDocument/2006/customXml" ds:itemID="{9E2D12A5-8BC3-4213-A45B-5EAEAE3F47E3}">
  <ds:schemaRef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996b26b-7637-40b4-838c-f7b6072afddc"/>
    <ds:schemaRef ds:uri="39b633de-8679-497d-82ac-99d9b608bae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9149</Words>
  <Characters>52155</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Behrens</dc:creator>
  <cp:keywords/>
  <dc:description/>
  <cp:lastModifiedBy>Chilver, Lisa (Judicial Office)</cp:lastModifiedBy>
  <cp:revision>2</cp:revision>
  <cp:lastPrinted>2023-11-30T11:06:00Z</cp:lastPrinted>
  <dcterms:created xsi:type="dcterms:W3CDTF">2024-01-29T14:29:00Z</dcterms:created>
  <dcterms:modified xsi:type="dcterms:W3CDTF">2024-01-29T14:29:00Z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0x010100DFE7286E4BBBDC4EBA12C42111CD2D65</vt:lpwstr>
  </property>
</Properties>
</file>