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9" w:type="dxa"/>
        <w:tblLayout w:type="fixed"/>
        <w:tblLook w:val="0000" w:firstRow="0" w:lastRow="0" w:firstColumn="0" w:lastColumn="0" w:noHBand="0" w:noVBand="0"/>
      </w:tblPr>
      <w:tblGrid>
        <w:gridCol w:w="9549"/>
      </w:tblGrid>
      <w:tr w:rsidR="00752AC1" w:rsidRPr="00D90984" w14:paraId="20278FC5" w14:textId="77777777" w:rsidTr="00EF02F1">
        <w:tc>
          <w:tcPr>
            <w:tcW w:w="9549" w:type="dxa"/>
          </w:tcPr>
          <w:p w14:paraId="3E74C147" w14:textId="77777777" w:rsidR="00752AC1" w:rsidRPr="00D90984" w:rsidRDefault="00752AC1" w:rsidP="00BD0735">
            <w:pPr>
              <w:tabs>
                <w:tab w:val="center" w:pos="4678"/>
              </w:tabs>
              <w:jc w:val="center"/>
              <w:rPr>
                <w:b/>
                <w:szCs w:val="24"/>
              </w:rPr>
            </w:pPr>
          </w:p>
        </w:tc>
      </w:tr>
    </w:tbl>
    <w:p w14:paraId="37B80798" w14:textId="273F3735" w:rsidR="00BD0735" w:rsidRDefault="00BD0735" w:rsidP="0094330B">
      <w:pPr>
        <w:tabs>
          <w:tab w:val="center" w:pos="4678"/>
          <w:tab w:val="right" w:pos="9072"/>
        </w:tabs>
        <w:ind w:right="-22"/>
        <w:rPr>
          <w:b/>
          <w:szCs w:val="24"/>
        </w:rPr>
      </w:pPr>
      <w:r w:rsidRPr="00BD0735">
        <w:rPr>
          <w:b/>
          <w:szCs w:val="24"/>
        </w:rPr>
        <w:t>UPPER TRIBUNAL (LANDS CHAMBER)</w:t>
      </w:r>
    </w:p>
    <w:p w14:paraId="3F35A739" w14:textId="085D0DAD" w:rsidR="00BD0735" w:rsidRDefault="00BD0735" w:rsidP="00BD0735">
      <w:pPr>
        <w:tabs>
          <w:tab w:val="center" w:pos="4678"/>
          <w:tab w:val="right" w:pos="9072"/>
        </w:tabs>
        <w:ind w:right="-22"/>
        <w:jc w:val="center"/>
        <w:rPr>
          <w:b/>
          <w:szCs w:val="24"/>
        </w:rPr>
      </w:pPr>
    </w:p>
    <w:p w14:paraId="74E262C3" w14:textId="5E0DA70F" w:rsidR="00BD0735" w:rsidRPr="00BD0735" w:rsidRDefault="00BD0735" w:rsidP="00BD0735">
      <w:pPr>
        <w:tabs>
          <w:tab w:val="center" w:pos="4678"/>
          <w:tab w:val="right" w:pos="9072"/>
        </w:tabs>
        <w:ind w:right="-22"/>
        <w:jc w:val="center"/>
        <w:rPr>
          <w:b/>
          <w:szCs w:val="24"/>
        </w:rPr>
      </w:pPr>
      <w:r w:rsidRPr="00D90984">
        <w:rPr>
          <w:noProof/>
          <w:szCs w:val="24"/>
          <w:lang w:eastAsia="en-GB"/>
        </w:rPr>
        <w:drawing>
          <wp:inline distT="0" distB="0" distL="0" distR="0" wp14:anchorId="4CCECF4E" wp14:editId="34F3B502">
            <wp:extent cx="914400" cy="771525"/>
            <wp:effectExtent l="0" t="0" r="0" b="0"/>
            <wp:docPr id="1" name="Picture 1"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771525"/>
                    </a:xfrm>
                    <a:prstGeom prst="rect">
                      <a:avLst/>
                    </a:prstGeom>
                    <a:noFill/>
                    <a:ln>
                      <a:noFill/>
                    </a:ln>
                  </pic:spPr>
                </pic:pic>
              </a:graphicData>
            </a:graphic>
          </wp:inline>
        </w:drawing>
      </w:r>
    </w:p>
    <w:p w14:paraId="3A69BF53" w14:textId="0FFD86D0" w:rsidR="00F14A9D" w:rsidRDefault="00F14A9D" w:rsidP="00BD0735">
      <w:pPr>
        <w:tabs>
          <w:tab w:val="center" w:pos="4672"/>
          <w:tab w:val="right" w:pos="9072"/>
        </w:tabs>
        <w:ind w:right="-22"/>
        <w:jc w:val="center"/>
        <w:rPr>
          <w:b/>
          <w:szCs w:val="24"/>
        </w:rPr>
      </w:pPr>
    </w:p>
    <w:p w14:paraId="4042E60E" w14:textId="6147E9FF" w:rsidR="00BD0735" w:rsidRDefault="00BD0735" w:rsidP="0094330B">
      <w:pPr>
        <w:tabs>
          <w:tab w:val="right" w:pos="9072"/>
        </w:tabs>
        <w:ind w:left="9072" w:right="-43" w:hanging="9072"/>
        <w:rPr>
          <w:b/>
          <w:szCs w:val="24"/>
        </w:rPr>
      </w:pPr>
      <w:r w:rsidRPr="00D90984">
        <w:rPr>
          <w:b/>
          <w:szCs w:val="24"/>
        </w:rPr>
        <w:t>UT Neutral citation number: [202</w:t>
      </w:r>
      <w:r>
        <w:rPr>
          <w:b/>
          <w:szCs w:val="24"/>
        </w:rPr>
        <w:t>2</w:t>
      </w:r>
      <w:r w:rsidRPr="00D90984">
        <w:rPr>
          <w:b/>
          <w:szCs w:val="24"/>
        </w:rPr>
        <w:t xml:space="preserve">] UKUT </w:t>
      </w:r>
      <w:r w:rsidR="005F5D82">
        <w:rPr>
          <w:b/>
          <w:szCs w:val="24"/>
        </w:rPr>
        <w:t>179</w:t>
      </w:r>
      <w:r w:rsidRPr="00D90984">
        <w:rPr>
          <w:b/>
          <w:szCs w:val="24"/>
        </w:rPr>
        <w:t xml:space="preserve"> (LC)</w:t>
      </w:r>
      <w:r w:rsidR="004E306B">
        <w:rPr>
          <w:b/>
          <w:szCs w:val="24"/>
        </w:rPr>
        <w:t xml:space="preserve">   UTLC Case Number: </w:t>
      </w:r>
      <w:r w:rsidR="00FC0CDE">
        <w:rPr>
          <w:b/>
          <w:szCs w:val="24"/>
        </w:rPr>
        <w:t>LC-20</w:t>
      </w:r>
      <w:r w:rsidR="00502D49">
        <w:rPr>
          <w:b/>
          <w:szCs w:val="24"/>
        </w:rPr>
        <w:t>2</w:t>
      </w:r>
      <w:r w:rsidR="00BD7C2A">
        <w:rPr>
          <w:b/>
          <w:szCs w:val="24"/>
        </w:rPr>
        <w:t>2-146</w:t>
      </w:r>
    </w:p>
    <w:p w14:paraId="24EB4FCF" w14:textId="77777777" w:rsidR="00905F58" w:rsidRPr="00D90984" w:rsidRDefault="00905F58" w:rsidP="0094330B">
      <w:pPr>
        <w:tabs>
          <w:tab w:val="right" w:pos="9072"/>
        </w:tabs>
        <w:ind w:left="9072" w:right="-43" w:hanging="9072"/>
        <w:rPr>
          <w:b/>
          <w:szCs w:val="24"/>
        </w:rPr>
      </w:pPr>
    </w:p>
    <w:p w14:paraId="618081EF" w14:textId="087D529C" w:rsidR="00BD0735" w:rsidRDefault="002C4B82" w:rsidP="00F9374B">
      <w:pPr>
        <w:tabs>
          <w:tab w:val="right" w:pos="9072"/>
        </w:tabs>
        <w:ind w:right="-43"/>
        <w:jc w:val="right"/>
        <w:rPr>
          <w:b/>
          <w:szCs w:val="24"/>
        </w:rPr>
      </w:pPr>
      <w:r>
        <w:rPr>
          <w:b/>
          <w:szCs w:val="24"/>
        </w:rPr>
        <w:t>Royal Courts of Justice</w:t>
      </w:r>
    </w:p>
    <w:p w14:paraId="44F70555" w14:textId="77777777" w:rsidR="00BD0735" w:rsidRDefault="00BD0735" w:rsidP="001021E5">
      <w:pPr>
        <w:tabs>
          <w:tab w:val="center" w:pos="4672"/>
          <w:tab w:val="right" w:pos="9072"/>
        </w:tabs>
        <w:ind w:right="-22"/>
        <w:jc w:val="both"/>
        <w:rPr>
          <w:b/>
          <w:szCs w:val="24"/>
        </w:rPr>
      </w:pPr>
    </w:p>
    <w:p w14:paraId="221E52F9" w14:textId="77777777" w:rsidR="00905F58" w:rsidRDefault="00905F58" w:rsidP="00752AC1">
      <w:pPr>
        <w:tabs>
          <w:tab w:val="center" w:pos="4672"/>
          <w:tab w:val="right" w:pos="9072"/>
        </w:tabs>
        <w:ind w:right="-22"/>
        <w:jc w:val="center"/>
        <w:rPr>
          <w:b/>
          <w:szCs w:val="24"/>
        </w:rPr>
      </w:pPr>
    </w:p>
    <w:p w14:paraId="7506E8D8" w14:textId="72618453" w:rsidR="00752AC1" w:rsidRPr="00D90984" w:rsidRDefault="00752AC1" w:rsidP="00752AC1">
      <w:pPr>
        <w:tabs>
          <w:tab w:val="center" w:pos="4672"/>
          <w:tab w:val="right" w:pos="9072"/>
        </w:tabs>
        <w:ind w:right="-22"/>
        <w:jc w:val="center"/>
        <w:rPr>
          <w:b/>
          <w:szCs w:val="24"/>
        </w:rPr>
      </w:pPr>
      <w:r w:rsidRPr="00D90984">
        <w:rPr>
          <w:b/>
          <w:szCs w:val="24"/>
        </w:rPr>
        <w:t>TRIBUNALS, COURTS AND ENFORCEMENT ACT 2007</w:t>
      </w:r>
    </w:p>
    <w:p w14:paraId="60A51D82" w14:textId="0A6A734A" w:rsidR="002044A0" w:rsidRPr="00D90984" w:rsidRDefault="002044A0" w:rsidP="00AA253D">
      <w:pPr>
        <w:tabs>
          <w:tab w:val="center" w:pos="4672"/>
          <w:tab w:val="right" w:pos="9072"/>
        </w:tabs>
        <w:ind w:right="-22"/>
        <w:rPr>
          <w:b/>
          <w:szCs w:val="24"/>
        </w:rPr>
      </w:pPr>
    </w:p>
    <w:p w14:paraId="0EBE9F60" w14:textId="0B7AC4EA" w:rsidR="00C93261" w:rsidRDefault="00AA253D" w:rsidP="00FE6DB7">
      <w:pPr>
        <w:tabs>
          <w:tab w:val="center" w:pos="4672"/>
          <w:tab w:val="right" w:pos="9072"/>
        </w:tabs>
        <w:ind w:right="-22"/>
        <w:rPr>
          <w:b/>
          <w:szCs w:val="24"/>
        </w:rPr>
      </w:pPr>
      <w:r>
        <w:rPr>
          <w:b/>
          <w:i/>
          <w:iCs/>
          <w:szCs w:val="24"/>
        </w:rPr>
        <w:t>HOUSING – CIVIL PENALTY – what is a house that is required to be licensed under Part 3 of the Housing Act 2004 – can a flat be a Part 3 house – scope of a licence under Part 3 – the offence created by section 95(1) of the Housing Act 2004</w:t>
      </w:r>
    </w:p>
    <w:p w14:paraId="39B933E1" w14:textId="77777777" w:rsidR="009C6581" w:rsidRDefault="009C6581" w:rsidP="000D61F3">
      <w:pPr>
        <w:tabs>
          <w:tab w:val="center" w:pos="4672"/>
          <w:tab w:val="right" w:pos="9072"/>
        </w:tabs>
        <w:ind w:right="-22"/>
        <w:jc w:val="center"/>
        <w:rPr>
          <w:b/>
          <w:szCs w:val="24"/>
        </w:rPr>
      </w:pPr>
    </w:p>
    <w:p w14:paraId="0673A529" w14:textId="38AF3303" w:rsidR="00A457DC" w:rsidRDefault="00BD7C2A" w:rsidP="00E70877">
      <w:pPr>
        <w:jc w:val="center"/>
        <w:rPr>
          <w:b/>
        </w:rPr>
      </w:pPr>
      <w:r>
        <w:rPr>
          <w:b/>
        </w:rPr>
        <w:t>AN APPEAL AGAINST A DECISION OF THE FIRST-TIER TRIBUNAL</w:t>
      </w:r>
    </w:p>
    <w:p w14:paraId="3444D13C" w14:textId="5126B192" w:rsidR="00BD7C2A" w:rsidRDefault="00BD7C2A" w:rsidP="00E70877">
      <w:pPr>
        <w:jc w:val="center"/>
        <w:rPr>
          <w:b/>
        </w:rPr>
      </w:pPr>
      <w:r>
        <w:rPr>
          <w:b/>
        </w:rPr>
        <w:t>(PROPERTY CHAMBER)</w:t>
      </w:r>
    </w:p>
    <w:p w14:paraId="67DF6E1F" w14:textId="363B1C2B" w:rsidR="008331BC" w:rsidRDefault="008331BC" w:rsidP="008331BC">
      <w:pPr>
        <w:jc w:val="both"/>
        <w:rPr>
          <w:b/>
        </w:rPr>
      </w:pPr>
      <w:r w:rsidRPr="0042744F">
        <w:rPr>
          <w:b/>
        </w:rPr>
        <w:t>BETWEEN:</w:t>
      </w:r>
    </w:p>
    <w:p w14:paraId="2580D763" w14:textId="094303BD" w:rsidR="00BD0735" w:rsidRPr="00D72655" w:rsidRDefault="00BD7C2A" w:rsidP="00BD0735">
      <w:pPr>
        <w:jc w:val="right"/>
        <w:rPr>
          <w:b/>
          <w:szCs w:val="24"/>
        </w:rPr>
      </w:pPr>
      <w:r>
        <w:rPr>
          <w:b/>
          <w:szCs w:val="24"/>
        </w:rPr>
        <w:t>Appellant</w:t>
      </w:r>
    </w:p>
    <w:p w14:paraId="48F0BD82" w14:textId="5C52B352" w:rsidR="00BD7C2A" w:rsidRDefault="00BD7C2A" w:rsidP="00BD0735">
      <w:pPr>
        <w:jc w:val="center"/>
        <w:rPr>
          <w:b/>
          <w:szCs w:val="24"/>
        </w:rPr>
      </w:pPr>
      <w:r>
        <w:rPr>
          <w:b/>
          <w:szCs w:val="24"/>
        </w:rPr>
        <w:t>NORTHUMBERLAND MEWS LIMITED</w:t>
      </w:r>
    </w:p>
    <w:p w14:paraId="6BB63FD5" w14:textId="77777777" w:rsidR="00BD7C2A" w:rsidRDefault="00BD7C2A" w:rsidP="00BD0735">
      <w:pPr>
        <w:jc w:val="center"/>
        <w:rPr>
          <w:b/>
          <w:szCs w:val="24"/>
        </w:rPr>
      </w:pPr>
    </w:p>
    <w:p w14:paraId="68622E78" w14:textId="0C69911D" w:rsidR="008331BC" w:rsidRDefault="008331BC" w:rsidP="00BD0735">
      <w:pPr>
        <w:jc w:val="center"/>
        <w:rPr>
          <w:b/>
          <w:szCs w:val="24"/>
        </w:rPr>
      </w:pPr>
      <w:r w:rsidRPr="00D72655">
        <w:rPr>
          <w:b/>
          <w:szCs w:val="24"/>
        </w:rPr>
        <w:t>-and-</w:t>
      </w:r>
    </w:p>
    <w:p w14:paraId="1F317CCA" w14:textId="488D211B" w:rsidR="00F3754B" w:rsidRDefault="00F3754B" w:rsidP="00BD0735">
      <w:pPr>
        <w:jc w:val="center"/>
        <w:rPr>
          <w:b/>
          <w:szCs w:val="24"/>
        </w:rPr>
      </w:pPr>
    </w:p>
    <w:p w14:paraId="32099E87" w14:textId="3F940423" w:rsidR="000E4C69" w:rsidRDefault="00F10530" w:rsidP="00BD0735">
      <w:pPr>
        <w:jc w:val="center"/>
        <w:rPr>
          <w:b/>
          <w:szCs w:val="24"/>
        </w:rPr>
      </w:pPr>
      <w:r>
        <w:rPr>
          <w:b/>
          <w:szCs w:val="24"/>
        </w:rPr>
        <w:t xml:space="preserve">  </w:t>
      </w:r>
      <w:r w:rsidR="00BD7C2A">
        <w:rPr>
          <w:b/>
          <w:szCs w:val="24"/>
        </w:rPr>
        <w:t>THANET DISTRICT COUNCIL</w:t>
      </w:r>
    </w:p>
    <w:p w14:paraId="003AD51B" w14:textId="6AF321EE" w:rsidR="008C401E" w:rsidRPr="008B220A" w:rsidRDefault="00767590" w:rsidP="002C4B82">
      <w:pPr>
        <w:jc w:val="right"/>
        <w:rPr>
          <w:b/>
        </w:rPr>
      </w:pPr>
      <w:r>
        <w:rPr>
          <w:b/>
        </w:rPr>
        <w:t>Respondent</w:t>
      </w:r>
    </w:p>
    <w:p w14:paraId="649E275F" w14:textId="77777777" w:rsidR="00E10CE6" w:rsidRPr="00D90984" w:rsidRDefault="00E10CE6" w:rsidP="00D72655">
      <w:pPr>
        <w:tabs>
          <w:tab w:val="left" w:pos="1185"/>
          <w:tab w:val="center" w:pos="4680"/>
          <w:tab w:val="right" w:pos="9072"/>
        </w:tabs>
        <w:ind w:right="-22"/>
        <w:jc w:val="center"/>
        <w:rPr>
          <w:b/>
          <w:szCs w:val="24"/>
        </w:rPr>
      </w:pPr>
    </w:p>
    <w:p w14:paraId="2FB34AA2" w14:textId="77777777" w:rsidR="00752AC1" w:rsidRPr="00D90984" w:rsidRDefault="00752AC1" w:rsidP="00752AC1">
      <w:pPr>
        <w:tabs>
          <w:tab w:val="center" w:pos="4680"/>
          <w:tab w:val="right" w:pos="9072"/>
        </w:tabs>
        <w:ind w:right="-22"/>
        <w:jc w:val="center"/>
        <w:rPr>
          <w:b/>
          <w:szCs w:val="24"/>
        </w:rPr>
      </w:pPr>
    </w:p>
    <w:tbl>
      <w:tblPr>
        <w:tblStyle w:val="PlainTable3"/>
        <w:tblW w:w="8981" w:type="dxa"/>
        <w:tblLayout w:type="fixed"/>
        <w:tblLook w:val="0600" w:firstRow="0" w:lastRow="0" w:firstColumn="0" w:lastColumn="0" w:noHBand="1" w:noVBand="1"/>
      </w:tblPr>
      <w:tblGrid>
        <w:gridCol w:w="1554"/>
        <w:gridCol w:w="6101"/>
        <w:gridCol w:w="1326"/>
      </w:tblGrid>
      <w:tr w:rsidR="00752AC1" w:rsidRPr="00D90984" w14:paraId="2F834D01" w14:textId="77777777" w:rsidTr="00157B18">
        <w:trPr>
          <w:trHeight w:val="131"/>
        </w:trPr>
        <w:tc>
          <w:tcPr>
            <w:tcW w:w="1554" w:type="dxa"/>
          </w:tcPr>
          <w:p w14:paraId="0C430132" w14:textId="2B93F2CA" w:rsidR="00752AC1" w:rsidRPr="00D90984" w:rsidRDefault="00752AC1" w:rsidP="00F02CD0">
            <w:pPr>
              <w:tabs>
                <w:tab w:val="center" w:pos="4680"/>
                <w:tab w:val="right" w:pos="9072"/>
              </w:tabs>
              <w:ind w:right="-22"/>
              <w:jc w:val="center"/>
              <w:rPr>
                <w:b/>
                <w:szCs w:val="24"/>
              </w:rPr>
            </w:pPr>
          </w:p>
        </w:tc>
        <w:tc>
          <w:tcPr>
            <w:tcW w:w="6101" w:type="dxa"/>
          </w:tcPr>
          <w:p w14:paraId="01919490" w14:textId="5360821E" w:rsidR="00367D90" w:rsidRPr="00D90984" w:rsidRDefault="00367D90" w:rsidP="00F02CD0">
            <w:pPr>
              <w:pStyle w:val="ListParagraph"/>
              <w:tabs>
                <w:tab w:val="center" w:pos="4680"/>
                <w:tab w:val="right" w:pos="9072"/>
              </w:tabs>
              <w:ind w:left="3672" w:right="-22" w:hanging="3919"/>
              <w:jc w:val="center"/>
              <w:rPr>
                <w:b/>
                <w:szCs w:val="24"/>
              </w:rPr>
            </w:pPr>
          </w:p>
        </w:tc>
        <w:tc>
          <w:tcPr>
            <w:tcW w:w="1326" w:type="dxa"/>
          </w:tcPr>
          <w:p w14:paraId="48FD1108" w14:textId="77777777" w:rsidR="00752AC1" w:rsidRPr="00D90984" w:rsidRDefault="00752AC1" w:rsidP="00EF4ECF">
            <w:pPr>
              <w:tabs>
                <w:tab w:val="center" w:pos="4680"/>
                <w:tab w:val="right" w:pos="9072"/>
              </w:tabs>
              <w:ind w:right="-22"/>
              <w:jc w:val="right"/>
              <w:rPr>
                <w:b/>
                <w:szCs w:val="24"/>
              </w:rPr>
            </w:pPr>
          </w:p>
        </w:tc>
      </w:tr>
    </w:tbl>
    <w:p w14:paraId="6D931B50" w14:textId="77777777" w:rsidR="004F498E" w:rsidRPr="00D90984" w:rsidRDefault="004F498E" w:rsidP="00BF2B1E">
      <w:pPr>
        <w:tabs>
          <w:tab w:val="center" w:pos="4678"/>
          <w:tab w:val="right" w:pos="9072"/>
        </w:tabs>
        <w:ind w:right="-22"/>
        <w:rPr>
          <w:b/>
          <w:szCs w:val="24"/>
        </w:rPr>
      </w:pPr>
    </w:p>
    <w:p w14:paraId="28AAFBCD" w14:textId="3161999E" w:rsidR="00F62EFE" w:rsidRPr="00BD7C2A" w:rsidRDefault="00206A70" w:rsidP="00BD7C2A">
      <w:pPr>
        <w:ind w:left="2880" w:hanging="753"/>
        <w:rPr>
          <w:b/>
          <w:bCs/>
        </w:rPr>
      </w:pPr>
      <w:r w:rsidRPr="007F5F1C">
        <w:rPr>
          <w:b/>
          <w:bCs/>
        </w:rPr>
        <w:t>Re</w:t>
      </w:r>
      <w:r w:rsidR="00682EE0" w:rsidRPr="007F5F1C">
        <w:rPr>
          <w:b/>
          <w:bCs/>
        </w:rPr>
        <w:t>:</w:t>
      </w:r>
      <w:r w:rsidR="00682EE0">
        <w:t xml:space="preserve"> </w:t>
      </w:r>
      <w:r w:rsidR="00BD7C2A" w:rsidRPr="00BD7C2A">
        <w:rPr>
          <w:b/>
          <w:bCs/>
        </w:rPr>
        <w:t>10, 12, 17, 19 and 21 William Meadows House,</w:t>
      </w:r>
    </w:p>
    <w:p w14:paraId="084F2096" w14:textId="0B403F53" w:rsidR="00BD7C2A" w:rsidRDefault="00BD7C2A" w:rsidP="00BD7C2A">
      <w:pPr>
        <w:ind w:left="2410" w:firstLine="851"/>
        <w:rPr>
          <w:b/>
          <w:bCs/>
        </w:rPr>
      </w:pPr>
      <w:r>
        <w:rPr>
          <w:b/>
          <w:bCs/>
        </w:rPr>
        <w:t xml:space="preserve">      3-4 Dalby Square,</w:t>
      </w:r>
    </w:p>
    <w:p w14:paraId="7A7FA1EA" w14:textId="76332037" w:rsidR="00BD7C2A" w:rsidRDefault="00BD7C2A" w:rsidP="00BD7C2A">
      <w:pPr>
        <w:ind w:left="2880" w:firstLine="720"/>
        <w:rPr>
          <w:b/>
          <w:bCs/>
        </w:rPr>
      </w:pPr>
      <w:r>
        <w:rPr>
          <w:b/>
          <w:bCs/>
        </w:rPr>
        <w:t xml:space="preserve">      Margate,</w:t>
      </w:r>
    </w:p>
    <w:p w14:paraId="2DDEA966" w14:textId="02A186D5" w:rsidR="00BD7C2A" w:rsidRDefault="00BD7C2A" w:rsidP="00BD7C2A">
      <w:pPr>
        <w:ind w:left="2880" w:firstLine="720"/>
        <w:rPr>
          <w:b/>
          <w:bCs/>
        </w:rPr>
      </w:pPr>
      <w:r>
        <w:rPr>
          <w:b/>
          <w:bCs/>
        </w:rPr>
        <w:t xml:space="preserve">         Kent,</w:t>
      </w:r>
    </w:p>
    <w:p w14:paraId="0E035705" w14:textId="645AE1F2" w:rsidR="00BD7C2A" w:rsidRDefault="00BD7C2A" w:rsidP="00BD7C2A">
      <w:pPr>
        <w:ind w:left="2880" w:firstLine="720"/>
        <w:rPr>
          <w:b/>
          <w:bCs/>
        </w:rPr>
      </w:pPr>
      <w:r>
        <w:rPr>
          <w:b/>
          <w:bCs/>
        </w:rPr>
        <w:t xml:space="preserve">      CT9 2ER</w:t>
      </w:r>
    </w:p>
    <w:p w14:paraId="614A0BDB" w14:textId="70B5BF9A" w:rsidR="007F5F1C" w:rsidRDefault="007F5F1C" w:rsidP="007F5F1C">
      <w:pPr>
        <w:jc w:val="center"/>
        <w:rPr>
          <w:b/>
          <w:bCs/>
        </w:rPr>
      </w:pPr>
    </w:p>
    <w:p w14:paraId="07845822" w14:textId="77777777" w:rsidR="007F5F1C" w:rsidRPr="00E71C57" w:rsidRDefault="007F5F1C" w:rsidP="007F5F1C">
      <w:pPr>
        <w:jc w:val="center"/>
      </w:pPr>
    </w:p>
    <w:p w14:paraId="0AD2C80F" w14:textId="1F1182F4" w:rsidR="00A13651" w:rsidRDefault="00A13651" w:rsidP="00C80373">
      <w:pPr>
        <w:jc w:val="center"/>
        <w:rPr>
          <w:b/>
        </w:rPr>
      </w:pPr>
    </w:p>
    <w:p w14:paraId="259CFCB8" w14:textId="467D45FE" w:rsidR="00D96727" w:rsidRDefault="00BD7C2A" w:rsidP="00D96727">
      <w:pPr>
        <w:jc w:val="center"/>
        <w:rPr>
          <w:b/>
        </w:rPr>
      </w:pPr>
      <w:r>
        <w:rPr>
          <w:b/>
        </w:rPr>
        <w:t>Judge Elizabeth Cooke</w:t>
      </w:r>
    </w:p>
    <w:p w14:paraId="4EF2F604" w14:textId="77777777" w:rsidR="00BD7C2A" w:rsidRDefault="00BD7C2A" w:rsidP="00D96727">
      <w:pPr>
        <w:jc w:val="center"/>
        <w:rPr>
          <w:b/>
        </w:rPr>
      </w:pPr>
    </w:p>
    <w:p w14:paraId="0D0EAAF0" w14:textId="4D8CBB92" w:rsidR="00B974F9" w:rsidRDefault="000E4C69" w:rsidP="000C34C4">
      <w:pPr>
        <w:pStyle w:val="Default"/>
        <w:jc w:val="center"/>
        <w:rPr>
          <w:rFonts w:ascii="Times New Roman" w:hAnsi="Times New Roman" w:cs="Times New Roman"/>
          <w:b/>
        </w:rPr>
      </w:pPr>
      <w:r>
        <w:rPr>
          <w:rFonts w:ascii="Times New Roman" w:hAnsi="Times New Roman" w:cs="Times New Roman"/>
          <w:b/>
        </w:rPr>
        <w:t xml:space="preserve">Heard on </w:t>
      </w:r>
      <w:r w:rsidR="00BD7C2A">
        <w:rPr>
          <w:rFonts w:ascii="Times New Roman" w:hAnsi="Times New Roman" w:cs="Times New Roman"/>
          <w:b/>
        </w:rPr>
        <w:t>5 July 2</w:t>
      </w:r>
      <w:r w:rsidR="00F62EFE">
        <w:rPr>
          <w:rFonts w:ascii="Times New Roman" w:hAnsi="Times New Roman" w:cs="Times New Roman"/>
          <w:b/>
        </w:rPr>
        <w:t>022</w:t>
      </w:r>
    </w:p>
    <w:p w14:paraId="0BFC471E" w14:textId="77777777" w:rsidR="008A6B7C" w:rsidRDefault="008A6B7C" w:rsidP="000C34C4">
      <w:pPr>
        <w:pStyle w:val="Default"/>
        <w:jc w:val="center"/>
        <w:rPr>
          <w:rFonts w:ascii="Times New Roman" w:hAnsi="Times New Roman" w:cs="Times New Roman"/>
          <w:b/>
        </w:rPr>
      </w:pPr>
    </w:p>
    <w:p w14:paraId="21238FC4" w14:textId="1186CA01" w:rsidR="00B974F9" w:rsidRDefault="00FA36B3" w:rsidP="00DB7CEC">
      <w:pPr>
        <w:pStyle w:val="Default"/>
        <w:jc w:val="center"/>
        <w:rPr>
          <w:rFonts w:ascii="Times New Roman" w:hAnsi="Times New Roman" w:cs="Times New Roman"/>
          <w:b/>
        </w:rPr>
      </w:pPr>
      <w:r>
        <w:rPr>
          <w:rFonts w:ascii="Times New Roman" w:hAnsi="Times New Roman" w:cs="Times New Roman"/>
          <w:b/>
        </w:rPr>
        <w:t>Decision</w:t>
      </w:r>
      <w:r w:rsidR="00B974F9">
        <w:rPr>
          <w:rFonts w:ascii="Times New Roman" w:hAnsi="Times New Roman" w:cs="Times New Roman"/>
          <w:b/>
        </w:rPr>
        <w:t xml:space="preserve"> Date: </w:t>
      </w:r>
      <w:r w:rsidR="008A4439">
        <w:rPr>
          <w:rFonts w:ascii="Times New Roman" w:hAnsi="Times New Roman" w:cs="Times New Roman"/>
          <w:b/>
        </w:rPr>
        <w:t>14 July 2022</w:t>
      </w:r>
    </w:p>
    <w:p w14:paraId="34018922" w14:textId="39F6BD8F" w:rsidR="00D745D8" w:rsidRDefault="00D745D8" w:rsidP="005E2DCB">
      <w:pPr>
        <w:pStyle w:val="Default"/>
        <w:rPr>
          <w:rFonts w:ascii="Times New Roman" w:hAnsi="Times New Roman" w:cs="Times New Roman"/>
          <w:b/>
        </w:rPr>
      </w:pPr>
    </w:p>
    <w:p w14:paraId="1971FDEA" w14:textId="4D2D690A" w:rsidR="00752AC1" w:rsidRPr="00D90984" w:rsidRDefault="00166373" w:rsidP="00752AC1">
      <w:pPr>
        <w:tabs>
          <w:tab w:val="right" w:pos="9072"/>
        </w:tabs>
        <w:ind w:right="-22"/>
        <w:rPr>
          <w:szCs w:val="24"/>
        </w:rPr>
      </w:pPr>
      <w:r>
        <w:rPr>
          <w:szCs w:val="24"/>
        </w:rPr>
        <w:t xml:space="preserve">Mr Tom Morris </w:t>
      </w:r>
      <w:r w:rsidR="00C11FA5" w:rsidRPr="00D90984">
        <w:rPr>
          <w:szCs w:val="24"/>
        </w:rPr>
        <w:t xml:space="preserve">for the </w:t>
      </w:r>
      <w:r w:rsidR="00BD7C2A">
        <w:rPr>
          <w:szCs w:val="24"/>
        </w:rPr>
        <w:t>appellant</w:t>
      </w:r>
      <w:r>
        <w:rPr>
          <w:szCs w:val="24"/>
        </w:rPr>
        <w:t>, instructed by Winckworth Sherwood LLP</w:t>
      </w:r>
    </w:p>
    <w:p w14:paraId="4526B4E7" w14:textId="2FF4C65E" w:rsidR="00D9750F" w:rsidRDefault="00166373" w:rsidP="00752AC1">
      <w:pPr>
        <w:tabs>
          <w:tab w:val="right" w:pos="9072"/>
        </w:tabs>
        <w:ind w:right="-22"/>
        <w:rPr>
          <w:szCs w:val="24"/>
        </w:rPr>
      </w:pPr>
      <w:r>
        <w:rPr>
          <w:szCs w:val="24"/>
        </w:rPr>
        <w:t xml:space="preserve">Mr Ranjit Bhose QC </w:t>
      </w:r>
      <w:r w:rsidR="00C11FA5" w:rsidRPr="00D90984">
        <w:rPr>
          <w:szCs w:val="24"/>
        </w:rPr>
        <w:t xml:space="preserve">for the </w:t>
      </w:r>
      <w:r w:rsidR="00E71C57">
        <w:rPr>
          <w:szCs w:val="24"/>
        </w:rPr>
        <w:t>respondent</w:t>
      </w:r>
      <w:r>
        <w:rPr>
          <w:szCs w:val="24"/>
        </w:rPr>
        <w:t>, instructed by the respondent’s legal department</w:t>
      </w:r>
    </w:p>
    <w:p w14:paraId="78F6D2EA" w14:textId="77777777" w:rsidR="006648E8" w:rsidRPr="00D90984" w:rsidRDefault="006648E8" w:rsidP="00752AC1">
      <w:pPr>
        <w:tabs>
          <w:tab w:val="right" w:pos="9072"/>
        </w:tabs>
        <w:ind w:right="-22"/>
        <w:rPr>
          <w:szCs w:val="24"/>
        </w:rPr>
      </w:pPr>
    </w:p>
    <w:p w14:paraId="30064269" w14:textId="77B28D5F" w:rsidR="00752AC1" w:rsidRPr="00D90984" w:rsidRDefault="00206A70" w:rsidP="00752AC1">
      <w:pPr>
        <w:pStyle w:val="Footer"/>
        <w:jc w:val="center"/>
        <w:rPr>
          <w:b/>
          <w:szCs w:val="24"/>
        </w:rPr>
      </w:pPr>
      <w:r w:rsidRPr="00D90984">
        <w:rPr>
          <w:b/>
          <w:szCs w:val="24"/>
        </w:rPr>
        <w:t>© CROWN COPYRIGHT 202</w:t>
      </w:r>
      <w:r w:rsidR="002D5E91">
        <w:rPr>
          <w:b/>
          <w:szCs w:val="24"/>
        </w:rPr>
        <w:t>2</w:t>
      </w:r>
    </w:p>
    <w:p w14:paraId="7B2E8318" w14:textId="00AD3933" w:rsidR="00D26019" w:rsidRPr="00D90984" w:rsidRDefault="00D26019">
      <w:pPr>
        <w:rPr>
          <w:b/>
          <w:szCs w:val="24"/>
          <w:u w:val="single"/>
        </w:rPr>
      </w:pPr>
    </w:p>
    <w:p w14:paraId="6E0C42D5" w14:textId="77777777" w:rsidR="001857A4" w:rsidRPr="00D90984" w:rsidRDefault="001857A4" w:rsidP="00752AC1">
      <w:pPr>
        <w:rPr>
          <w:szCs w:val="24"/>
        </w:rPr>
      </w:pPr>
    </w:p>
    <w:p w14:paraId="2F6580B1" w14:textId="18C0B7F8" w:rsidR="00752AC1" w:rsidRDefault="005F5411" w:rsidP="00752AC1">
      <w:pPr>
        <w:rPr>
          <w:szCs w:val="24"/>
        </w:rPr>
      </w:pPr>
      <w:r>
        <w:rPr>
          <w:szCs w:val="24"/>
        </w:rPr>
        <w:br w:type="page"/>
      </w:r>
      <w:r w:rsidR="00752AC1" w:rsidRPr="00D90984">
        <w:rPr>
          <w:szCs w:val="24"/>
        </w:rPr>
        <w:lastRenderedPageBreak/>
        <w:t>The following cases are referred to in this decision:</w:t>
      </w:r>
    </w:p>
    <w:p w14:paraId="1DD2A60B" w14:textId="3538BFD3" w:rsidR="00B12EC3" w:rsidRDefault="00B12EC3" w:rsidP="00752AC1">
      <w:pPr>
        <w:rPr>
          <w:szCs w:val="24"/>
        </w:rPr>
      </w:pPr>
    </w:p>
    <w:p w14:paraId="1B3C9F7E" w14:textId="7FBF6EE0" w:rsidR="00B12EC3" w:rsidRDefault="00B12EC3" w:rsidP="00752AC1">
      <w:pPr>
        <w:rPr>
          <w:i/>
          <w:iCs/>
        </w:rPr>
      </w:pPr>
      <w:r>
        <w:rPr>
          <w:i/>
          <w:iCs/>
        </w:rPr>
        <w:t>Dickenson v Fletcher</w:t>
      </w:r>
      <w:r>
        <w:t xml:space="preserve"> (1873) LR 9 CP 1</w:t>
      </w:r>
    </w:p>
    <w:p w14:paraId="5D23D499" w14:textId="6894458A" w:rsidR="00B12EC3" w:rsidRPr="00D90984" w:rsidRDefault="00B12EC3" w:rsidP="00752AC1">
      <w:pPr>
        <w:rPr>
          <w:szCs w:val="24"/>
        </w:rPr>
      </w:pPr>
      <w:r>
        <w:rPr>
          <w:i/>
          <w:iCs/>
        </w:rPr>
        <w:t>London Borough of Waltham Forest v Khan</w:t>
      </w:r>
      <w:r>
        <w:t xml:space="preserve"> [2017] UKUT] 153 (LC)</w:t>
      </w:r>
    </w:p>
    <w:p w14:paraId="6406C863" w14:textId="49118132" w:rsidR="00752AC1" w:rsidRDefault="00752AC1" w:rsidP="005E373C">
      <w:pPr>
        <w:pStyle w:val="CoverDesc"/>
        <w:jc w:val="left"/>
        <w:rPr>
          <w:sz w:val="24"/>
          <w:szCs w:val="24"/>
        </w:rPr>
      </w:pPr>
    </w:p>
    <w:p w14:paraId="3F964124" w14:textId="77777777" w:rsidR="005E373C" w:rsidRPr="00D90984" w:rsidRDefault="005E373C" w:rsidP="005E373C">
      <w:pPr>
        <w:pStyle w:val="CoverDesc"/>
        <w:jc w:val="left"/>
        <w:rPr>
          <w:sz w:val="24"/>
          <w:szCs w:val="24"/>
        </w:rPr>
      </w:pPr>
    </w:p>
    <w:p w14:paraId="73425FBE" w14:textId="77777777" w:rsidR="00752AC1" w:rsidRPr="00D90984" w:rsidRDefault="00752AC1" w:rsidP="00752AC1">
      <w:pPr>
        <w:rPr>
          <w:szCs w:val="24"/>
        </w:rPr>
        <w:sectPr w:rsidR="00752AC1" w:rsidRPr="00D90984" w:rsidSect="00081F15">
          <w:headerReference w:type="even" r:id="rId11"/>
          <w:headerReference w:type="default" r:id="rId12"/>
          <w:footerReference w:type="even" r:id="rId13"/>
          <w:footerReference w:type="default" r:id="rId14"/>
          <w:headerReference w:type="first" r:id="rId15"/>
          <w:footerReference w:type="first" r:id="rId16"/>
          <w:pgSz w:w="11909" w:h="16834" w:code="9"/>
          <w:pgMar w:top="720" w:right="1440" w:bottom="720" w:left="1440" w:header="720" w:footer="720" w:gutter="0"/>
          <w:pgNumType w:start="1"/>
          <w:cols w:space="720"/>
          <w:titlePg/>
          <w:docGrid w:linePitch="326"/>
        </w:sectPr>
      </w:pPr>
    </w:p>
    <w:p w14:paraId="545FFDCC" w14:textId="6CE7A4E9" w:rsidR="00752AC1" w:rsidRDefault="00752AC1" w:rsidP="00E53F22">
      <w:pPr>
        <w:pStyle w:val="Heading1"/>
        <w:spacing w:after="360"/>
        <w:rPr>
          <w:rFonts w:cs="Times New Roman"/>
          <w:szCs w:val="24"/>
        </w:rPr>
      </w:pPr>
      <w:r w:rsidRPr="00D90984">
        <w:rPr>
          <w:rFonts w:cs="Times New Roman"/>
          <w:szCs w:val="24"/>
        </w:rPr>
        <w:lastRenderedPageBreak/>
        <w:t>Introduction</w:t>
      </w:r>
    </w:p>
    <w:p w14:paraId="0DAE685F" w14:textId="2F197C4F" w:rsidR="00A457DC" w:rsidRDefault="00166373" w:rsidP="00C82729">
      <w:pPr>
        <w:pStyle w:val="Normal2"/>
        <w:numPr>
          <w:ilvl w:val="0"/>
          <w:numId w:val="52"/>
        </w:numPr>
        <w:spacing w:after="360"/>
        <w:ind w:left="567" w:hanging="567"/>
      </w:pPr>
      <w:r>
        <w:t xml:space="preserve">This is an appeal about the selective licensing regime in Part 3 of the Housing Act 2004. </w:t>
      </w:r>
      <w:r w:rsidR="00186A03">
        <w:t>Northumberland Mews Limited</w:t>
      </w:r>
      <w:r w:rsidR="0084510B">
        <w:t xml:space="preserve"> appeals the decision of the First-tier Tribunal to uphold five financial penalties imposed upon it by the </w:t>
      </w:r>
      <w:r w:rsidR="00186A03">
        <w:t>respondent l</w:t>
      </w:r>
      <w:r w:rsidR="0084510B">
        <w:t>ocal housing authority</w:t>
      </w:r>
      <w:r w:rsidR="00186A03">
        <w:t>, Thanet District Council,</w:t>
      </w:r>
      <w:r w:rsidR="0084510B">
        <w:t xml:space="preserve"> in respect of five flats in a building</w:t>
      </w:r>
      <w:r w:rsidR="00186A03">
        <w:t xml:space="preserve"> of which it owned the freehold</w:t>
      </w:r>
      <w:r w:rsidR="0084510B">
        <w:t>, which it was managing when they should have been licensed and were not. The penalties were of £10,000 for each flat. T</w:t>
      </w:r>
      <w:r w:rsidR="00186A03">
        <w:t>h</w:t>
      </w:r>
      <w:r w:rsidR="0084510B">
        <w:t>e appellant says that it was not lawful to impose five separate penalties</w:t>
      </w:r>
      <w:r w:rsidR="00186A03">
        <w:t xml:space="preserve"> </w:t>
      </w:r>
      <w:r w:rsidR="00FE740A">
        <w:t>and that</w:t>
      </w:r>
      <w:r w:rsidR="00186A03">
        <w:t xml:space="preserve"> it committed only one offence under Part 3, because the only “Part 3 house” was the whole building.</w:t>
      </w:r>
      <w:r w:rsidR="000664A7">
        <w:t xml:space="preserve"> The maximum penalty for such an offence is £30,000, and of course as things stand the appellant has to pay £50,000.</w:t>
      </w:r>
    </w:p>
    <w:p w14:paraId="62CE92B2" w14:textId="6E0D79DD" w:rsidR="00A457DC" w:rsidRDefault="00186A03" w:rsidP="00EC30E5">
      <w:pPr>
        <w:pStyle w:val="Normal2"/>
        <w:numPr>
          <w:ilvl w:val="0"/>
          <w:numId w:val="52"/>
        </w:numPr>
        <w:spacing w:after="360"/>
        <w:ind w:left="567" w:hanging="567"/>
      </w:pPr>
      <w:r>
        <w:t>The appellant was represented by Mr Tom Morris, and the respondent housing authority by Mr Ra</w:t>
      </w:r>
      <w:r w:rsidR="00B12EC3">
        <w:t>n</w:t>
      </w:r>
      <w:r>
        <w:t xml:space="preserve">jit Bhose QC, and I am grateful to them both. </w:t>
      </w:r>
    </w:p>
    <w:p w14:paraId="2CA86AE4" w14:textId="044AA520" w:rsidR="00166373" w:rsidRPr="00166373" w:rsidRDefault="00166373" w:rsidP="00166373">
      <w:pPr>
        <w:pStyle w:val="Normal2"/>
        <w:spacing w:after="360"/>
        <w:rPr>
          <w:b/>
          <w:bCs/>
        </w:rPr>
      </w:pPr>
      <w:r>
        <w:rPr>
          <w:b/>
          <w:bCs/>
        </w:rPr>
        <w:t>The statutory regime</w:t>
      </w:r>
    </w:p>
    <w:p w14:paraId="03AE518C" w14:textId="2530E5A4" w:rsidR="00166373" w:rsidRDefault="00166373" w:rsidP="00C82729">
      <w:pPr>
        <w:pStyle w:val="Normal2"/>
        <w:numPr>
          <w:ilvl w:val="0"/>
          <w:numId w:val="52"/>
        </w:numPr>
        <w:spacing w:after="360"/>
        <w:ind w:left="567" w:hanging="567"/>
      </w:pPr>
      <w:r>
        <w:t>The Housing Act 2004 established two regimes for the licensing of rented accommodation, in Part 2 for houses in multiple occupatio</w:t>
      </w:r>
      <w:r w:rsidR="00FE740A">
        <w:t>n</w:t>
      </w:r>
      <w:r>
        <w:t xml:space="preserve"> and </w:t>
      </w:r>
      <w:r w:rsidR="00FE740A">
        <w:t xml:space="preserve">in </w:t>
      </w:r>
      <w:r>
        <w:t>Part 3 which provide</w:t>
      </w:r>
      <w:r w:rsidR="00831527">
        <w:t>s</w:t>
      </w:r>
      <w:r>
        <w:t xml:space="preserve"> for the selective licensing of other residential accommodation.</w:t>
      </w:r>
    </w:p>
    <w:p w14:paraId="279EE3A6" w14:textId="30CD8FC1" w:rsidR="00674B2B" w:rsidRPr="00674B2B" w:rsidRDefault="00674B2B" w:rsidP="00674B2B">
      <w:pPr>
        <w:pStyle w:val="Normal2"/>
        <w:spacing w:after="360"/>
        <w:rPr>
          <w:i/>
          <w:iCs/>
        </w:rPr>
      </w:pPr>
      <w:r>
        <w:rPr>
          <w:i/>
          <w:iCs/>
        </w:rPr>
        <w:t>Selective licensing</w:t>
      </w:r>
    </w:p>
    <w:p w14:paraId="361E11AE" w14:textId="78535B8B" w:rsidR="00831527" w:rsidRDefault="00831527" w:rsidP="00831527">
      <w:pPr>
        <w:pStyle w:val="Normal2"/>
        <w:numPr>
          <w:ilvl w:val="0"/>
          <w:numId w:val="52"/>
        </w:numPr>
        <w:spacing w:after="360"/>
        <w:ind w:left="567" w:hanging="567"/>
      </w:pPr>
      <w:r>
        <w:t>Part 3 begins with sec</w:t>
      </w:r>
      <w:r w:rsidR="005F5411">
        <w:t>tion 79</w:t>
      </w:r>
      <w:r>
        <w:t>:</w:t>
      </w:r>
    </w:p>
    <w:p w14:paraId="3A7F4B57" w14:textId="77777777" w:rsidR="00831527" w:rsidRPr="00831527" w:rsidRDefault="00831527" w:rsidP="00831527">
      <w:pPr>
        <w:pStyle w:val="Normal2"/>
        <w:spacing w:after="360"/>
        <w:ind w:left="1440"/>
        <w:rPr>
          <w:lang w:val="en-US"/>
        </w:rPr>
      </w:pPr>
      <w:r>
        <w:t>“</w:t>
      </w:r>
      <w:r w:rsidRPr="00831527">
        <w:rPr>
          <w:lang w:val="en-US"/>
        </w:rPr>
        <w:t>(1)  This Part provides for houses to be licensed by local housing authorities where–</w:t>
      </w:r>
    </w:p>
    <w:p w14:paraId="407A24EB" w14:textId="77777777" w:rsidR="00831527" w:rsidRPr="00831527" w:rsidRDefault="00831527" w:rsidP="00831527">
      <w:pPr>
        <w:pStyle w:val="Normal2"/>
        <w:spacing w:after="0"/>
        <w:ind w:left="1440"/>
        <w:rPr>
          <w:lang w:val="en-US"/>
        </w:rPr>
      </w:pPr>
      <w:r w:rsidRPr="00831527">
        <w:rPr>
          <w:lang w:val="en-US"/>
        </w:rPr>
        <w:t>(a)  they are houses to which this Part applies (see subsection (2)), and</w:t>
      </w:r>
    </w:p>
    <w:p w14:paraId="28E71CD2" w14:textId="77777777" w:rsidR="00831527" w:rsidRPr="00831527" w:rsidRDefault="00831527" w:rsidP="00831527">
      <w:pPr>
        <w:pStyle w:val="Normal2"/>
        <w:spacing w:after="360"/>
        <w:ind w:left="1440"/>
        <w:rPr>
          <w:lang w:val="en-US"/>
        </w:rPr>
      </w:pPr>
      <w:r w:rsidRPr="00831527">
        <w:rPr>
          <w:lang w:val="en-US"/>
        </w:rPr>
        <w:t>(b)  they are required to be licensed under this Part (see </w:t>
      </w:r>
      <w:hyperlink r:id="rId17" w:history="1">
        <w:r w:rsidRPr="00831527">
          <w:rPr>
            <w:rStyle w:val="Hyperlink"/>
            <w:color w:val="auto"/>
            <w:u w:val="none"/>
            <w:lang w:val="en-US"/>
          </w:rPr>
          <w:t>section 85(1)</w:t>
        </w:r>
      </w:hyperlink>
      <w:r w:rsidRPr="00831527">
        <w:rPr>
          <w:lang w:val="en-US"/>
        </w:rPr>
        <w:t>).</w:t>
      </w:r>
    </w:p>
    <w:p w14:paraId="454968C6" w14:textId="77777777" w:rsidR="00831527" w:rsidRPr="00831527" w:rsidRDefault="00831527" w:rsidP="00831527">
      <w:pPr>
        <w:pStyle w:val="Normal2"/>
        <w:spacing w:after="360"/>
        <w:ind w:left="1440"/>
        <w:rPr>
          <w:lang w:val="en-US"/>
        </w:rPr>
      </w:pPr>
      <w:r w:rsidRPr="00831527">
        <w:rPr>
          <w:lang w:val="en-US"/>
        </w:rPr>
        <w:t>(2)  This Part applies to a house if–</w:t>
      </w:r>
    </w:p>
    <w:p w14:paraId="2C454E85" w14:textId="77777777" w:rsidR="00831527" w:rsidRPr="00831527" w:rsidRDefault="00831527" w:rsidP="00831527">
      <w:pPr>
        <w:pStyle w:val="Normal2"/>
        <w:spacing w:after="0"/>
        <w:ind w:left="1440"/>
        <w:rPr>
          <w:lang w:val="en-US"/>
        </w:rPr>
      </w:pPr>
      <w:r w:rsidRPr="00831527">
        <w:rPr>
          <w:lang w:val="en-US"/>
        </w:rPr>
        <w:t>(a)  it is in an area that is for the time being designated under </w:t>
      </w:r>
      <w:hyperlink r:id="rId18" w:history="1">
        <w:r w:rsidRPr="00831527">
          <w:rPr>
            <w:rStyle w:val="Hyperlink"/>
            <w:color w:val="auto"/>
            <w:u w:val="none"/>
            <w:lang w:val="en-US"/>
          </w:rPr>
          <w:t>section 80</w:t>
        </w:r>
      </w:hyperlink>
      <w:r w:rsidRPr="00831527">
        <w:rPr>
          <w:lang w:val="en-US"/>
        </w:rPr>
        <w:t> as subject to selective licensing, and</w:t>
      </w:r>
    </w:p>
    <w:p w14:paraId="79E20EF1" w14:textId="77777777" w:rsidR="00831527" w:rsidRPr="00831527" w:rsidRDefault="00831527" w:rsidP="00831527">
      <w:pPr>
        <w:pStyle w:val="Normal2"/>
        <w:spacing w:after="360"/>
        <w:ind w:left="1440"/>
        <w:rPr>
          <w:lang w:val="en-US"/>
        </w:rPr>
      </w:pPr>
      <w:r w:rsidRPr="00831527">
        <w:rPr>
          <w:lang w:val="en-US"/>
        </w:rPr>
        <w:t>(b)  the whole of it is occupied either–</w:t>
      </w:r>
    </w:p>
    <w:p w14:paraId="70643074" w14:textId="77777777" w:rsidR="00831527" w:rsidRPr="00831527" w:rsidRDefault="00831527" w:rsidP="00831527">
      <w:pPr>
        <w:pStyle w:val="Normal2"/>
        <w:spacing w:after="360"/>
        <w:ind w:left="2160"/>
        <w:rPr>
          <w:lang w:val="en-US"/>
        </w:rPr>
      </w:pPr>
      <w:r w:rsidRPr="00831527">
        <w:rPr>
          <w:lang w:val="en-US"/>
        </w:rPr>
        <w:t>(i)  under a single tenancy or licence that is not an exempt tenancy or licence under subsection (3) or (4), or</w:t>
      </w:r>
    </w:p>
    <w:p w14:paraId="4EA3CA8D" w14:textId="77777777" w:rsidR="00831527" w:rsidRPr="00831527" w:rsidRDefault="00831527" w:rsidP="00831527">
      <w:pPr>
        <w:pStyle w:val="Normal2"/>
        <w:spacing w:after="360"/>
        <w:ind w:left="2160"/>
        <w:rPr>
          <w:lang w:val="en-US"/>
        </w:rPr>
      </w:pPr>
      <w:r w:rsidRPr="00831527">
        <w:rPr>
          <w:lang w:val="en-US"/>
        </w:rPr>
        <w:t>(ii)  under two or more tenancies or licences in respect of different dwellings contained in it, none of which is an exempt tenancy or licence under subsection (3) or (4).</w:t>
      </w:r>
    </w:p>
    <w:p w14:paraId="6CB7BE8E" w14:textId="713C7DD7" w:rsidR="00831527" w:rsidRDefault="00831527" w:rsidP="00831527">
      <w:pPr>
        <w:pStyle w:val="Normal2"/>
        <w:spacing w:after="360"/>
        <w:ind w:left="567"/>
      </w:pPr>
      <w:r>
        <w:rPr>
          <w:lang w:val="en-US"/>
        </w:rPr>
        <w:lastRenderedPageBreak/>
        <w:t>Subsections (3) and (4) provide that an exempt tenancy or licence is one granted by a social housing provider</w:t>
      </w:r>
      <w:r w:rsidR="00F72F86">
        <w:rPr>
          <w:lang w:val="en-US"/>
        </w:rPr>
        <w:t xml:space="preserve"> or</w:t>
      </w:r>
      <w:r>
        <w:rPr>
          <w:lang w:val="en-US"/>
        </w:rPr>
        <w:t xml:space="preserve"> a social landlord</w:t>
      </w:r>
      <w:r w:rsidR="00F72F86">
        <w:rPr>
          <w:lang w:val="en-US"/>
        </w:rPr>
        <w:t>, or a tenancy or licence designated by order</w:t>
      </w:r>
      <w:r>
        <w:rPr>
          <w:lang w:val="en-US"/>
        </w:rPr>
        <w:t>; the details do not concern us but the fact that some tenancies are exempt does</w:t>
      </w:r>
      <w:r w:rsidR="00F72F86">
        <w:rPr>
          <w:lang w:val="en-US"/>
        </w:rPr>
        <w:t>. And it is worth noting that the</w:t>
      </w:r>
      <w:r w:rsidR="00FE740A">
        <w:rPr>
          <w:lang w:val="en-US"/>
        </w:rPr>
        <w:t xml:space="preserve"> </w:t>
      </w:r>
      <w:r w:rsidR="00F72F86">
        <w:rPr>
          <w:lang w:val="en-US"/>
        </w:rPr>
        <w:t>re</w:t>
      </w:r>
      <w:r w:rsidR="00FE740A">
        <w:rPr>
          <w:lang w:val="en-US"/>
        </w:rPr>
        <w:t>levant order designates as exempt</w:t>
      </w:r>
      <w:r w:rsidR="00F72F86">
        <w:rPr>
          <w:lang w:val="en-US"/>
        </w:rPr>
        <w:t xml:space="preserve"> a wide range of tenancies and licences: see the </w:t>
      </w:r>
      <w:r w:rsidR="00BB4742">
        <w:rPr>
          <w:lang w:val="en-US"/>
        </w:rPr>
        <w:t>Selective Licensing of Houses (Specified Exemptions) (England) Order 2006.</w:t>
      </w:r>
    </w:p>
    <w:p w14:paraId="1B999B0C" w14:textId="61CE0C41" w:rsidR="00BB4742" w:rsidRDefault="00302215" w:rsidP="00EC30E5">
      <w:pPr>
        <w:pStyle w:val="Normal2"/>
        <w:numPr>
          <w:ilvl w:val="0"/>
          <w:numId w:val="52"/>
        </w:numPr>
        <w:spacing w:after="360"/>
        <w:ind w:left="567" w:hanging="567"/>
      </w:pPr>
      <w:r>
        <w:t xml:space="preserve">So for a house to be required to be licensed, three conditions must be met. First, it must be in an area designated by the local housing authority as subject to selective licensing under section 80, which sets out the conditions for designation (not in issue in this appeal). Second, it must be </w:t>
      </w:r>
      <w:r w:rsidR="00BB4742">
        <w:t>“</w:t>
      </w:r>
      <w:r>
        <w:t>occupied</w:t>
      </w:r>
      <w:r w:rsidR="00BB4742">
        <w:t xml:space="preserve">” (I come back to that word later) </w:t>
      </w:r>
      <w:r>
        <w:t>in the way set out in section 79</w:t>
      </w:r>
      <w:r w:rsidR="00B12EC3">
        <w:t>(2)</w:t>
      </w:r>
      <w:r>
        <w:t>(b)(i) or (ii)</w:t>
      </w:r>
      <w:r w:rsidR="00166373">
        <w:t>.</w:t>
      </w:r>
      <w:r>
        <w:t xml:space="preserve"> Third, it must be required to be licensed under section 85(1)</w:t>
      </w:r>
      <w:r w:rsidR="00BB4742">
        <w:t>.</w:t>
      </w:r>
    </w:p>
    <w:p w14:paraId="0861CA20" w14:textId="79AA0861" w:rsidR="00166373" w:rsidRDefault="00BB4742" w:rsidP="00EC30E5">
      <w:pPr>
        <w:pStyle w:val="Normal2"/>
        <w:numPr>
          <w:ilvl w:val="0"/>
          <w:numId w:val="52"/>
        </w:numPr>
        <w:spacing w:after="360"/>
        <w:ind w:left="567" w:hanging="567"/>
      </w:pPr>
      <w:r>
        <w:t>Section 85</w:t>
      </w:r>
      <w:r w:rsidR="00302215">
        <w:t xml:space="preserve"> </w:t>
      </w:r>
      <w:r w:rsidR="00C87A80">
        <w:t>reads so far as relevant as follows:</w:t>
      </w:r>
    </w:p>
    <w:p w14:paraId="6281F9D4" w14:textId="77777777" w:rsidR="00C87A80" w:rsidRPr="00C87A80" w:rsidRDefault="00C87A80" w:rsidP="00C87A80">
      <w:pPr>
        <w:pStyle w:val="Normal2"/>
        <w:spacing w:after="360"/>
        <w:ind w:left="1440"/>
        <w:rPr>
          <w:lang w:val="en-US"/>
        </w:rPr>
      </w:pPr>
      <w:r w:rsidRPr="00C87A80">
        <w:t>“</w:t>
      </w:r>
      <w:r w:rsidRPr="00C87A80">
        <w:rPr>
          <w:lang w:val="en-US"/>
        </w:rPr>
        <w:t>(1)  Every </w:t>
      </w:r>
      <w:hyperlink r:id="rId19" w:history="1">
        <w:r w:rsidRPr="00C87A80">
          <w:rPr>
            <w:rStyle w:val="Hyperlink"/>
            <w:color w:val="auto"/>
            <w:u w:val="none"/>
            <w:lang w:val="en-US"/>
          </w:rPr>
          <w:t>Part 3</w:t>
        </w:r>
      </w:hyperlink>
      <w:r w:rsidRPr="00C87A80">
        <w:rPr>
          <w:lang w:val="en-US"/>
        </w:rPr>
        <w:t> house must be licensed under this Part unless–</w:t>
      </w:r>
    </w:p>
    <w:p w14:paraId="2F5A31FA" w14:textId="77777777" w:rsidR="00C87A80" w:rsidRPr="00C87A80" w:rsidRDefault="00C87A80" w:rsidP="00C87A80">
      <w:pPr>
        <w:pStyle w:val="Normal2"/>
        <w:spacing w:after="0"/>
        <w:ind w:left="2160"/>
        <w:rPr>
          <w:lang w:val="en-US"/>
        </w:rPr>
      </w:pPr>
      <w:r w:rsidRPr="00C87A80">
        <w:rPr>
          <w:lang w:val="en-US"/>
        </w:rPr>
        <w:t>(a)  it is an HMO to which </w:t>
      </w:r>
      <w:hyperlink r:id="rId20" w:history="1">
        <w:r w:rsidRPr="00C87A80">
          <w:rPr>
            <w:rStyle w:val="Hyperlink"/>
            <w:color w:val="auto"/>
            <w:u w:val="none"/>
            <w:lang w:val="en-US"/>
          </w:rPr>
          <w:t>Part 2</w:t>
        </w:r>
      </w:hyperlink>
      <w:r w:rsidRPr="00C87A80">
        <w:rPr>
          <w:lang w:val="en-US"/>
        </w:rPr>
        <w:t> applies (see </w:t>
      </w:r>
      <w:hyperlink r:id="rId21" w:history="1">
        <w:r w:rsidRPr="00C87A80">
          <w:rPr>
            <w:rStyle w:val="Hyperlink"/>
            <w:color w:val="auto"/>
            <w:u w:val="none"/>
            <w:lang w:val="en-US"/>
          </w:rPr>
          <w:t>section 55(2)</w:t>
        </w:r>
      </w:hyperlink>
      <w:r w:rsidRPr="00C87A80">
        <w:rPr>
          <w:lang w:val="en-US"/>
        </w:rPr>
        <w:t>), or</w:t>
      </w:r>
    </w:p>
    <w:p w14:paraId="323C163E" w14:textId="77777777" w:rsidR="00C87A80" w:rsidRPr="00C87A80" w:rsidRDefault="00C87A80" w:rsidP="00C87A80">
      <w:pPr>
        <w:pStyle w:val="Normal2"/>
        <w:spacing w:after="0"/>
        <w:ind w:left="2160"/>
        <w:rPr>
          <w:lang w:val="en-US"/>
        </w:rPr>
      </w:pPr>
      <w:r w:rsidRPr="00C87A80">
        <w:rPr>
          <w:lang w:val="en-US"/>
        </w:rPr>
        <w:t>(b)  a temporary exemption notice is in force in relation to it under </w:t>
      </w:r>
      <w:hyperlink r:id="rId22" w:history="1">
        <w:r w:rsidRPr="00C87A80">
          <w:rPr>
            <w:rStyle w:val="Hyperlink"/>
            <w:color w:val="auto"/>
            <w:u w:val="none"/>
            <w:lang w:val="en-US"/>
          </w:rPr>
          <w:t>section 86</w:t>
        </w:r>
      </w:hyperlink>
      <w:r w:rsidRPr="00C87A80">
        <w:rPr>
          <w:lang w:val="en-US"/>
        </w:rPr>
        <w:t>, or</w:t>
      </w:r>
    </w:p>
    <w:p w14:paraId="462E1ADF" w14:textId="77777777" w:rsidR="00C87A80" w:rsidRPr="00C87A80" w:rsidRDefault="00C87A80" w:rsidP="00C87A80">
      <w:pPr>
        <w:pStyle w:val="Normal2"/>
        <w:spacing w:after="360"/>
        <w:ind w:left="2160"/>
        <w:rPr>
          <w:lang w:val="en-US"/>
        </w:rPr>
      </w:pPr>
      <w:r w:rsidRPr="00C87A80">
        <w:rPr>
          <w:lang w:val="en-US"/>
        </w:rPr>
        <w:t>(c)  a management order is in force in relation to it under </w:t>
      </w:r>
      <w:hyperlink r:id="rId23" w:history="1">
        <w:r w:rsidRPr="00C87A80">
          <w:rPr>
            <w:rStyle w:val="Hyperlink"/>
            <w:color w:val="auto"/>
            <w:u w:val="none"/>
            <w:lang w:val="en-US"/>
          </w:rPr>
          <w:t>Chapter 1 or 2 of Part 4</w:t>
        </w:r>
      </w:hyperlink>
      <w:r w:rsidRPr="00C87A80">
        <w:rPr>
          <w:lang w:val="en-US"/>
        </w:rPr>
        <w:t>.</w:t>
      </w:r>
    </w:p>
    <w:p w14:paraId="71C9A863" w14:textId="77777777" w:rsidR="00C87A80" w:rsidRPr="00C87A80" w:rsidRDefault="00C87A80" w:rsidP="00C87A80">
      <w:pPr>
        <w:pStyle w:val="Normal2"/>
        <w:spacing w:after="360"/>
        <w:ind w:left="1440"/>
        <w:rPr>
          <w:lang w:val="en-US"/>
        </w:rPr>
      </w:pPr>
      <w:r w:rsidRPr="00C87A80">
        <w:rPr>
          <w:lang w:val="en-US"/>
        </w:rPr>
        <w:t>(2)  A licence under this Part is a licence authorising occupation of the house concerned under one or more tenancies or licences within </w:t>
      </w:r>
      <w:hyperlink r:id="rId24" w:history="1">
        <w:r w:rsidRPr="00C87A80">
          <w:rPr>
            <w:rStyle w:val="Hyperlink"/>
            <w:color w:val="auto"/>
            <w:u w:val="none"/>
            <w:lang w:val="en-US"/>
          </w:rPr>
          <w:t>section 79(2)(b)</w:t>
        </w:r>
      </w:hyperlink>
      <w:r w:rsidRPr="00C87A80">
        <w:rPr>
          <w:lang w:val="en-US"/>
        </w:rPr>
        <w:t>.</w:t>
      </w:r>
    </w:p>
    <w:p w14:paraId="24C43B38" w14:textId="0DD5C2D7" w:rsidR="00C87A80" w:rsidRPr="00C87A80" w:rsidRDefault="00C87A80" w:rsidP="00C87A80">
      <w:pPr>
        <w:pStyle w:val="Normal2"/>
        <w:spacing w:after="360"/>
        <w:ind w:left="1440"/>
        <w:rPr>
          <w:lang w:val="en-US"/>
        </w:rPr>
      </w:pPr>
      <w:r>
        <w:rPr>
          <w:lang w:val="en-US"/>
        </w:rPr>
        <w:t>…</w:t>
      </w:r>
    </w:p>
    <w:p w14:paraId="17208699" w14:textId="77777777" w:rsidR="00C87A80" w:rsidRPr="00C87A80" w:rsidRDefault="00C87A80" w:rsidP="00C87A80">
      <w:pPr>
        <w:pStyle w:val="Normal2"/>
        <w:spacing w:after="360"/>
        <w:ind w:left="1440"/>
        <w:rPr>
          <w:lang w:val="en-US"/>
        </w:rPr>
      </w:pPr>
      <w:r w:rsidRPr="00C87A80">
        <w:rPr>
          <w:lang w:val="en-US"/>
        </w:rPr>
        <w:t>(5)  In this Part, unless the context otherwise requires–</w:t>
      </w:r>
    </w:p>
    <w:p w14:paraId="55D85859" w14:textId="6FFEACE1" w:rsidR="00C87A80" w:rsidRPr="00C87A80" w:rsidRDefault="00C87A80" w:rsidP="00C87A80">
      <w:pPr>
        <w:pStyle w:val="Normal2"/>
        <w:spacing w:after="360"/>
        <w:ind w:left="1440"/>
        <w:rPr>
          <w:lang w:val="en-US"/>
        </w:rPr>
      </w:pPr>
      <w:r w:rsidRPr="00C87A80">
        <w:rPr>
          <w:lang w:val="en-US"/>
        </w:rPr>
        <w:t>(a)  references to a </w:t>
      </w:r>
      <w:hyperlink r:id="rId25" w:history="1">
        <w:r w:rsidRPr="00C87A80">
          <w:rPr>
            <w:rStyle w:val="Hyperlink"/>
            <w:color w:val="auto"/>
            <w:u w:val="none"/>
            <w:lang w:val="en-US"/>
          </w:rPr>
          <w:t>Part 3</w:t>
        </w:r>
      </w:hyperlink>
      <w:r w:rsidRPr="00C87A80">
        <w:rPr>
          <w:lang w:val="en-US"/>
        </w:rPr>
        <w:t> house are to a house to which this Part applies (see </w:t>
      </w:r>
      <w:hyperlink r:id="rId26" w:history="1">
        <w:r w:rsidRPr="00C87A80">
          <w:rPr>
            <w:rStyle w:val="Hyperlink"/>
            <w:color w:val="auto"/>
            <w:u w:val="none"/>
            <w:lang w:val="en-US"/>
          </w:rPr>
          <w:t>section 79(2)</w:t>
        </w:r>
      </w:hyperlink>
      <w:r w:rsidRPr="00C87A80">
        <w:rPr>
          <w:lang w:val="en-US"/>
        </w:rPr>
        <w:t>)</w:t>
      </w:r>
      <w:r>
        <w:rPr>
          <w:lang w:val="en-US"/>
        </w:rPr>
        <w:t xml:space="preserve"> …</w:t>
      </w:r>
    </w:p>
    <w:p w14:paraId="30F43C6F" w14:textId="283391D3" w:rsidR="00C87A80" w:rsidRDefault="00C87A80" w:rsidP="00C82729">
      <w:pPr>
        <w:pStyle w:val="Normal2"/>
        <w:numPr>
          <w:ilvl w:val="0"/>
          <w:numId w:val="52"/>
        </w:numPr>
        <w:spacing w:after="360"/>
        <w:ind w:left="567" w:hanging="567"/>
      </w:pPr>
      <w:r>
        <w:t>This appeal is about what is a “Part 3 house” in any given situation; a Part 3 house is required to be licensed if it falls within section 85(1). And that brings us back to the crucial term “house”.</w:t>
      </w:r>
    </w:p>
    <w:p w14:paraId="6BB79CE8" w14:textId="183B2B2E" w:rsidR="00166373" w:rsidRDefault="007D307F" w:rsidP="00C82729">
      <w:pPr>
        <w:pStyle w:val="Normal2"/>
        <w:numPr>
          <w:ilvl w:val="0"/>
          <w:numId w:val="52"/>
        </w:numPr>
        <w:spacing w:after="360"/>
        <w:ind w:left="567" w:hanging="567"/>
      </w:pPr>
      <w:r>
        <w:t>A “house” is defined in section 99 which states:</w:t>
      </w:r>
    </w:p>
    <w:p w14:paraId="0FB7AB81" w14:textId="77777777" w:rsidR="001666D9" w:rsidRPr="001666D9" w:rsidRDefault="001666D9" w:rsidP="001666D9">
      <w:pPr>
        <w:pStyle w:val="Normal2"/>
        <w:spacing w:after="360"/>
        <w:ind w:left="1440"/>
        <w:rPr>
          <w:lang w:val="en-US"/>
        </w:rPr>
      </w:pPr>
      <w:r>
        <w:t>“</w:t>
      </w:r>
      <w:r w:rsidRPr="001666D9">
        <w:rPr>
          <w:lang w:val="en-US"/>
        </w:rPr>
        <w:t>In this Part–</w:t>
      </w:r>
    </w:p>
    <w:p w14:paraId="143B1B5A" w14:textId="77777777" w:rsidR="001666D9" w:rsidRPr="001666D9" w:rsidRDefault="001666D9" w:rsidP="001666D9">
      <w:pPr>
        <w:pStyle w:val="Normal2"/>
        <w:spacing w:after="0"/>
        <w:ind w:left="1440"/>
        <w:rPr>
          <w:lang w:val="en-US"/>
        </w:rPr>
      </w:pPr>
      <w:r w:rsidRPr="001666D9">
        <w:rPr>
          <w:i/>
          <w:iCs/>
          <w:lang w:val="en-US"/>
        </w:rPr>
        <w:t>“dwelling” </w:t>
      </w:r>
      <w:r w:rsidRPr="001666D9">
        <w:rPr>
          <w:lang w:val="en-US"/>
        </w:rPr>
        <w:t> means a building or part of a building occupied or intended to be occupied as a separate dwelling;</w:t>
      </w:r>
    </w:p>
    <w:p w14:paraId="3A951AF8" w14:textId="77777777" w:rsidR="001666D9" w:rsidRPr="001666D9" w:rsidRDefault="001666D9" w:rsidP="001666D9">
      <w:pPr>
        <w:pStyle w:val="Normal2"/>
        <w:spacing w:after="360"/>
        <w:ind w:left="1440"/>
        <w:rPr>
          <w:lang w:val="en-US"/>
        </w:rPr>
      </w:pPr>
      <w:r w:rsidRPr="001666D9">
        <w:rPr>
          <w:i/>
          <w:iCs/>
          <w:lang w:val="en-US"/>
        </w:rPr>
        <w:t>“house” </w:t>
      </w:r>
      <w:r w:rsidRPr="001666D9">
        <w:rPr>
          <w:lang w:val="en-US"/>
        </w:rPr>
        <w:t> means a building or part of a building consisting of one or more dwellings;</w:t>
      </w:r>
    </w:p>
    <w:p w14:paraId="05387CAE" w14:textId="0523FF79" w:rsidR="001666D9" w:rsidRPr="001666D9" w:rsidRDefault="001666D9" w:rsidP="001666D9">
      <w:pPr>
        <w:pStyle w:val="Normal2"/>
        <w:spacing w:after="360"/>
        <w:ind w:left="1440"/>
        <w:rPr>
          <w:lang w:val="en-US"/>
        </w:rPr>
      </w:pPr>
      <w:r w:rsidRPr="001666D9">
        <w:rPr>
          <w:lang w:val="en-US"/>
        </w:rPr>
        <w:lastRenderedPageBreak/>
        <w:t>and references to a house include (where the context permits) any yard, garden, outhouses and appurtenances belonging to, or usually enjoyed with, it (or any part of it).</w:t>
      </w:r>
      <w:r>
        <w:rPr>
          <w:lang w:val="en-US"/>
        </w:rPr>
        <w:t>”</w:t>
      </w:r>
    </w:p>
    <w:p w14:paraId="751CD617" w14:textId="37416D24" w:rsidR="007D307F" w:rsidRDefault="0099720B" w:rsidP="00C82729">
      <w:pPr>
        <w:pStyle w:val="Normal2"/>
        <w:numPr>
          <w:ilvl w:val="0"/>
          <w:numId w:val="52"/>
        </w:numPr>
        <w:spacing w:after="360"/>
        <w:ind w:left="567" w:hanging="567"/>
      </w:pPr>
      <w:r>
        <w:t>It will be seen that a house is a building or part of a building, consisting of one or more dwellings (section 99), and that</w:t>
      </w:r>
      <w:r w:rsidR="00C87A80">
        <w:t xml:space="preserve">  a</w:t>
      </w:r>
      <w:r>
        <w:t xml:space="preserve"> Part 3 </w:t>
      </w:r>
      <w:r w:rsidR="00C87A80">
        <w:t>house is one that</w:t>
      </w:r>
      <w:r>
        <w:t xml:space="preserve"> is</w:t>
      </w:r>
      <w:r w:rsidR="00C87A80">
        <w:t xml:space="preserve"> in a designated area (section 79(2)(a)</w:t>
      </w:r>
      <w:r w:rsidR="00FE740A">
        <w:t>)</w:t>
      </w:r>
      <w:r w:rsidR="00C87A80">
        <w:t>, the whole of which is</w:t>
      </w:r>
      <w:r>
        <w:t xml:space="preserve"> </w:t>
      </w:r>
      <w:r w:rsidR="00C87A80">
        <w:t>“</w:t>
      </w:r>
      <w:r>
        <w:t>occupied</w:t>
      </w:r>
      <w:r w:rsidR="00C87A80">
        <w:t>” as specified in section 79(2)</w:t>
      </w:r>
      <w:r w:rsidR="00056C39">
        <w:t>(b)</w:t>
      </w:r>
      <w:r w:rsidR="00C87A80">
        <w:t>.</w:t>
      </w:r>
    </w:p>
    <w:p w14:paraId="6E7B706C" w14:textId="33FBE4BA" w:rsidR="0099720B" w:rsidRDefault="0099720B" w:rsidP="00C82729">
      <w:pPr>
        <w:pStyle w:val="Normal2"/>
        <w:numPr>
          <w:ilvl w:val="0"/>
          <w:numId w:val="52"/>
        </w:numPr>
        <w:spacing w:after="360"/>
        <w:ind w:left="567" w:hanging="567"/>
      </w:pPr>
      <w:r>
        <w:t xml:space="preserve">That would appear to mean, and has been taken by many local authorities to mean, that all of the following can be a Part 3 </w:t>
      </w:r>
      <w:r w:rsidR="00C87A80">
        <w:t>house</w:t>
      </w:r>
      <w:r>
        <w:t xml:space="preserve"> which may be required to be licensed under section 85(1):</w:t>
      </w:r>
    </w:p>
    <w:p w14:paraId="2CB95DE1" w14:textId="32E80413" w:rsidR="0099720B" w:rsidRDefault="0099720B" w:rsidP="0099720B">
      <w:pPr>
        <w:pStyle w:val="Normal2"/>
        <w:numPr>
          <w:ilvl w:val="0"/>
          <w:numId w:val="57"/>
        </w:numPr>
        <w:spacing w:after="360"/>
      </w:pPr>
      <w:r>
        <w:t>a flat (part of a building consisting of one dwelling)</w:t>
      </w:r>
    </w:p>
    <w:p w14:paraId="448D8796" w14:textId="072C1756" w:rsidR="0099720B" w:rsidRDefault="0099720B" w:rsidP="0099720B">
      <w:pPr>
        <w:pStyle w:val="Normal2"/>
        <w:numPr>
          <w:ilvl w:val="0"/>
          <w:numId w:val="57"/>
        </w:numPr>
        <w:spacing w:after="360"/>
      </w:pPr>
      <w:r>
        <w:t>part of a building consisting of several flats (</w:t>
      </w:r>
      <w:r w:rsidR="00C87A80">
        <w:t xml:space="preserve">being </w:t>
      </w:r>
      <w:r>
        <w:t>part of a building consisting of more than one dwelling</w:t>
      </w:r>
      <w:r w:rsidR="00C87A80">
        <w:t>)</w:t>
      </w:r>
      <w:r w:rsidR="00A40C0A">
        <w:t>.</w:t>
      </w:r>
    </w:p>
    <w:p w14:paraId="17FD69C2" w14:textId="77777777" w:rsidR="00C87A80" w:rsidRDefault="00C87A80" w:rsidP="00C87A80">
      <w:pPr>
        <w:pStyle w:val="Normal2"/>
        <w:numPr>
          <w:ilvl w:val="0"/>
          <w:numId w:val="57"/>
        </w:numPr>
        <w:spacing w:after="360"/>
      </w:pPr>
      <w:r>
        <w:t>a building consisting of several flats (being a building consisting of more than one dwelling)</w:t>
      </w:r>
    </w:p>
    <w:p w14:paraId="24BE564F" w14:textId="0CE851ED" w:rsidR="007D307F" w:rsidRDefault="00A40C0A" w:rsidP="00C82729">
      <w:pPr>
        <w:pStyle w:val="Normal2"/>
        <w:numPr>
          <w:ilvl w:val="0"/>
          <w:numId w:val="52"/>
        </w:numPr>
        <w:spacing w:after="360"/>
        <w:ind w:left="567" w:hanging="567"/>
      </w:pPr>
      <w:r>
        <w:t>Accordingly it has been the practice of local authorities to grant licences under Part 3 both in relation to houses consisting of several flats owned and managed by a single landlord, and in relation to individual flats where more than one flat in the same building is owned and managed by the same landlord</w:t>
      </w:r>
      <w:r w:rsidR="00FE740A">
        <w:t>, and in relation to groups of two or more flats.</w:t>
      </w:r>
      <w:r w:rsidR="005F5411">
        <w:t xml:space="preserve"> That flexible practice</w:t>
      </w:r>
      <w:r w:rsidR="00C87A80">
        <w:t xml:space="preserve"> </w:t>
      </w:r>
      <w:r w:rsidR="0084510B">
        <w:t xml:space="preserve">was the background to the Tribunal’s decision in </w:t>
      </w:r>
      <w:r w:rsidR="0084510B">
        <w:rPr>
          <w:i/>
          <w:iCs/>
        </w:rPr>
        <w:t>London Borough of Waltham Forest v Kh</w:t>
      </w:r>
      <w:r w:rsidR="005F5411">
        <w:rPr>
          <w:i/>
          <w:iCs/>
        </w:rPr>
        <w:t>an</w:t>
      </w:r>
      <w:r w:rsidR="0084510B">
        <w:t xml:space="preserve"> [2017] UKUT] 153 (LC), where Mr Khan owned six flats in a building and the local housing authority granted Part 3 licence</w:t>
      </w:r>
      <w:r w:rsidR="008A4439">
        <w:t>s</w:t>
      </w:r>
      <w:r w:rsidR="0084510B">
        <w:t xml:space="preserve"> in respect of </w:t>
      </w:r>
      <w:r w:rsidR="008A4439">
        <w:t xml:space="preserve">each of </w:t>
      </w:r>
      <w:r w:rsidR="0084510B">
        <w:t xml:space="preserve">four of the flats for five years, and </w:t>
      </w:r>
      <w:r w:rsidR="008A4439">
        <w:t>further</w:t>
      </w:r>
      <w:r w:rsidR="0084510B">
        <w:t xml:space="preserve"> Part 3 licence</w:t>
      </w:r>
      <w:r w:rsidR="008A4439">
        <w:t>s</w:t>
      </w:r>
      <w:r w:rsidR="0084510B">
        <w:t xml:space="preserve"> for only one year in respect of two of the flats because they appeared to have been created without planning permission, in order for the planning issue to be resolved. The Tribunal (the Deputy President, Martin Rodger QC) found that the planning status of the property was a relevant consideration in the grant of licences. The practice of granting licences relating to more than one flat, and of granting more than one licence to the same landlord in relation to different parts of the building, was not called into question in that appeal, but it is in this one.</w:t>
      </w:r>
    </w:p>
    <w:p w14:paraId="2D7A7BD6" w14:textId="3C584692" w:rsidR="00C87A80" w:rsidRPr="00C87A80" w:rsidRDefault="00C87A80" w:rsidP="00C87A80">
      <w:pPr>
        <w:pStyle w:val="Normal2"/>
        <w:spacing w:after="360"/>
        <w:rPr>
          <w:i/>
          <w:iCs/>
        </w:rPr>
      </w:pPr>
      <w:r>
        <w:rPr>
          <w:i/>
          <w:iCs/>
        </w:rPr>
        <w:t>Other aspects of licensing practice</w:t>
      </w:r>
    </w:p>
    <w:p w14:paraId="27B0CA38" w14:textId="0E366F5D" w:rsidR="00F17B48" w:rsidRDefault="00F17B48" w:rsidP="005F5411">
      <w:pPr>
        <w:pStyle w:val="Normal2"/>
        <w:numPr>
          <w:ilvl w:val="0"/>
          <w:numId w:val="52"/>
        </w:numPr>
        <w:spacing w:after="360"/>
        <w:ind w:left="567" w:hanging="567"/>
      </w:pPr>
      <w:r>
        <w:t>Section 87 of the 2004 Act provides that an application for a licence under Part 3 is to be made to the local housing authority, which may charge a fee. Section 88 provides</w:t>
      </w:r>
      <w:r w:rsidR="001F7E73">
        <w:t xml:space="preserve"> that the authority must either refuse or grant the licence; they may grant it if they are satisfied that the proposed licence holder is a fit and proper person to hold the licence, and that the proposed manager is the person having control of the house or an agent or employee of that person.</w:t>
      </w:r>
    </w:p>
    <w:p w14:paraId="6445B4AA" w14:textId="114FC7EF" w:rsidR="00C6245C" w:rsidRDefault="00C6245C" w:rsidP="00C82729">
      <w:pPr>
        <w:pStyle w:val="Normal2"/>
        <w:numPr>
          <w:ilvl w:val="0"/>
          <w:numId w:val="52"/>
        </w:numPr>
        <w:spacing w:after="360"/>
        <w:ind w:left="567" w:hanging="567"/>
      </w:pPr>
      <w:r>
        <w:t>Section 91 sets out a number of general requirements about licences, of which the following are relevant to the present appeal:</w:t>
      </w:r>
    </w:p>
    <w:p w14:paraId="31532526" w14:textId="77777777" w:rsidR="00C6245C" w:rsidRPr="00C6245C" w:rsidRDefault="00C6245C" w:rsidP="00C6245C">
      <w:pPr>
        <w:pStyle w:val="Normal2"/>
        <w:spacing w:after="360"/>
        <w:ind w:left="1440"/>
        <w:rPr>
          <w:lang w:val="en-US"/>
        </w:rPr>
      </w:pPr>
      <w:r>
        <w:lastRenderedPageBreak/>
        <w:t>“</w:t>
      </w:r>
      <w:r w:rsidRPr="00C6245C">
        <w:rPr>
          <w:lang w:val="en-US"/>
        </w:rPr>
        <w:t>(1)  A licence may not relate to more than one </w:t>
      </w:r>
      <w:hyperlink r:id="rId27" w:history="1">
        <w:r w:rsidRPr="00C6245C">
          <w:rPr>
            <w:rStyle w:val="Hyperlink"/>
            <w:color w:val="auto"/>
            <w:u w:val="none"/>
            <w:lang w:val="en-US"/>
          </w:rPr>
          <w:t>Part 3</w:t>
        </w:r>
      </w:hyperlink>
      <w:r w:rsidRPr="00C6245C">
        <w:rPr>
          <w:lang w:val="en-US"/>
        </w:rPr>
        <w:t> house.</w:t>
      </w:r>
    </w:p>
    <w:p w14:paraId="02AF4BA7" w14:textId="77777777" w:rsidR="006E6AFA" w:rsidRDefault="00C6245C" w:rsidP="00C87A80">
      <w:pPr>
        <w:pStyle w:val="Normal2"/>
        <w:spacing w:after="360"/>
        <w:ind w:left="1440"/>
        <w:rPr>
          <w:lang w:val="en-US"/>
        </w:rPr>
      </w:pPr>
      <w:r w:rsidRPr="00C6245C">
        <w:rPr>
          <w:lang w:val="en-US"/>
        </w:rPr>
        <w:t>(2)  A licence may be granted before the time when it is required by virtue of this Part but, if so, the licence cannot come into force until that time.</w:t>
      </w:r>
    </w:p>
    <w:p w14:paraId="09DDD33F" w14:textId="77777777" w:rsidR="006E6AFA" w:rsidRPr="006E6AFA" w:rsidRDefault="006E6AFA" w:rsidP="006E6AFA">
      <w:pPr>
        <w:pStyle w:val="Normal2"/>
        <w:spacing w:after="360"/>
        <w:ind w:left="1440"/>
        <w:rPr>
          <w:lang w:val="en-US"/>
        </w:rPr>
      </w:pPr>
      <w:r>
        <w:rPr>
          <w:lang w:val="en-US"/>
        </w:rPr>
        <w:t xml:space="preserve">  </w:t>
      </w:r>
      <w:r w:rsidRPr="006E6AFA">
        <w:rPr>
          <w:lang w:val="en-US"/>
        </w:rPr>
        <w:t>(3)  A licence–</w:t>
      </w:r>
    </w:p>
    <w:p w14:paraId="1DFDC37F" w14:textId="77777777" w:rsidR="006E6AFA" w:rsidRPr="006E6AFA" w:rsidRDefault="006E6AFA" w:rsidP="006E6AFA">
      <w:pPr>
        <w:pStyle w:val="Normal2"/>
        <w:spacing w:after="0"/>
        <w:ind w:left="2160"/>
        <w:rPr>
          <w:lang w:val="en-US"/>
        </w:rPr>
      </w:pPr>
      <w:r w:rsidRPr="006E6AFA">
        <w:rPr>
          <w:lang w:val="en-US"/>
        </w:rPr>
        <w:t>(a)  comes into force at the time that is specified in or determined under the licence for this purpose, and</w:t>
      </w:r>
    </w:p>
    <w:p w14:paraId="2B41AE0A" w14:textId="2277E42A" w:rsidR="006E6AFA" w:rsidRPr="006E6AFA" w:rsidRDefault="006E6AFA" w:rsidP="006E6AFA">
      <w:pPr>
        <w:pStyle w:val="Normal2"/>
        <w:spacing w:after="360"/>
        <w:ind w:left="2160"/>
        <w:rPr>
          <w:lang w:val="en-US"/>
        </w:rPr>
      </w:pPr>
      <w:r w:rsidRPr="006E6AFA">
        <w:rPr>
          <w:lang w:val="en-US"/>
        </w:rPr>
        <w:t>(b)  unless previously terminated by subsection (7) or revoked under [</w:t>
      </w:r>
      <w:hyperlink r:id="rId28" w:history="1">
        <w:r w:rsidRPr="006E6AFA">
          <w:rPr>
            <w:rStyle w:val="Hyperlink"/>
            <w:color w:val="auto"/>
            <w:u w:val="none"/>
            <w:lang w:val="en-US"/>
          </w:rPr>
          <w:t>section 93 or 93A</w:t>
        </w:r>
      </w:hyperlink>
      <w:r w:rsidRPr="006E6AFA">
        <w:rPr>
          <w:lang w:val="en-US"/>
        </w:rPr>
        <w:t>]</w:t>
      </w:r>
      <w:hyperlink r:id="rId29" w:anchor="co_footnote_I44A36B70E45311DA8D70A0E70A78ED65_1" w:history="1">
        <w:r w:rsidRPr="006E6AFA">
          <w:rPr>
            <w:rStyle w:val="Hyperlink"/>
            <w:color w:val="auto"/>
            <w:u w:val="none"/>
            <w:lang w:val="en-US"/>
          </w:rPr>
          <w:t>1</w:t>
        </w:r>
      </w:hyperlink>
      <w:r w:rsidRPr="006E6AFA">
        <w:rPr>
          <w:lang w:val="en-US"/>
        </w:rPr>
        <w:t>, continues in force for the period that is so specified or determined. …</w:t>
      </w:r>
    </w:p>
    <w:p w14:paraId="7F7E62C6" w14:textId="2C436516" w:rsidR="00C87A80" w:rsidRDefault="006E6AFA" w:rsidP="00C87A80">
      <w:pPr>
        <w:pStyle w:val="Normal2"/>
        <w:spacing w:after="360"/>
        <w:ind w:left="1440"/>
        <w:rPr>
          <w:lang w:val="en-US"/>
        </w:rPr>
      </w:pPr>
      <w:r w:rsidRPr="006E6AFA">
        <w:rPr>
          <w:lang w:val="en-US"/>
        </w:rPr>
        <w:t>(5)  Subsection (3)(b) applies even if, at any time during that period, the house concerned subsequently ceases to be a </w:t>
      </w:r>
      <w:hyperlink r:id="rId30" w:history="1">
        <w:r w:rsidRPr="006E6AFA">
          <w:rPr>
            <w:rStyle w:val="Hyperlink"/>
            <w:color w:val="auto"/>
            <w:u w:val="none"/>
            <w:lang w:val="en-US"/>
          </w:rPr>
          <w:t>Part 3</w:t>
        </w:r>
      </w:hyperlink>
      <w:r w:rsidRPr="006E6AFA">
        <w:rPr>
          <w:lang w:val="en-US"/>
        </w:rPr>
        <w:t> house or becomes an HMO to which </w:t>
      </w:r>
      <w:hyperlink r:id="rId31" w:history="1">
        <w:r w:rsidRPr="006E6AFA">
          <w:rPr>
            <w:rStyle w:val="Hyperlink"/>
            <w:color w:val="auto"/>
            <w:u w:val="none"/>
            <w:lang w:val="en-US"/>
          </w:rPr>
          <w:t>Part 2</w:t>
        </w:r>
      </w:hyperlink>
      <w:r w:rsidRPr="006E6AFA">
        <w:rPr>
          <w:lang w:val="en-US"/>
        </w:rPr>
        <w:t> applies (see </w:t>
      </w:r>
      <w:hyperlink r:id="rId32" w:history="1">
        <w:r w:rsidRPr="006E6AFA">
          <w:rPr>
            <w:rStyle w:val="Hyperlink"/>
            <w:color w:val="auto"/>
            <w:u w:val="none"/>
            <w:lang w:val="en-US"/>
          </w:rPr>
          <w:t>section 55(2)</w:t>
        </w:r>
      </w:hyperlink>
      <w:r w:rsidRPr="006E6AFA">
        <w:rPr>
          <w:lang w:val="en-US"/>
        </w:rPr>
        <w:t>).</w:t>
      </w:r>
      <w:r>
        <w:rPr>
          <w:lang w:val="en-US"/>
        </w:rPr>
        <w:t>”</w:t>
      </w:r>
    </w:p>
    <w:p w14:paraId="3089D496" w14:textId="103AF580" w:rsidR="00B12EC3" w:rsidRDefault="00B12EC3" w:rsidP="00B12EC3">
      <w:pPr>
        <w:pStyle w:val="Normal2"/>
        <w:numPr>
          <w:ilvl w:val="0"/>
          <w:numId w:val="52"/>
        </w:numPr>
        <w:spacing w:after="360"/>
        <w:ind w:left="567" w:hanging="567"/>
        <w:rPr>
          <w:lang w:val="en-US"/>
        </w:rPr>
      </w:pPr>
      <w:r>
        <w:rPr>
          <w:lang w:val="en-US"/>
        </w:rPr>
        <w:t xml:space="preserve">Section 92 makes </w:t>
      </w:r>
      <w:r w:rsidRPr="00B12EC3">
        <w:t>provision</w:t>
      </w:r>
      <w:r>
        <w:rPr>
          <w:lang w:val="en-US"/>
        </w:rPr>
        <w:t xml:space="preserve"> for the variation of licences, as follows:</w:t>
      </w:r>
    </w:p>
    <w:p w14:paraId="194CB1FD" w14:textId="5B45754A" w:rsidR="00B12EC3" w:rsidRPr="00B12EC3" w:rsidRDefault="00B12EC3" w:rsidP="00B12EC3">
      <w:pPr>
        <w:pStyle w:val="Normal2"/>
        <w:spacing w:after="360"/>
        <w:ind w:left="1440"/>
        <w:rPr>
          <w:lang w:val="en-US"/>
        </w:rPr>
      </w:pPr>
      <w:r>
        <w:rPr>
          <w:lang w:val="en-US"/>
        </w:rPr>
        <w:t>“</w:t>
      </w:r>
      <w:r w:rsidRPr="00B12EC3">
        <w:rPr>
          <w:lang w:val="en-US"/>
        </w:rPr>
        <w:t>(1) The local housing authority may vary a licence–</w:t>
      </w:r>
    </w:p>
    <w:p w14:paraId="2E550669" w14:textId="77777777" w:rsidR="00B12EC3" w:rsidRPr="00B12EC3" w:rsidRDefault="00B12EC3" w:rsidP="00B12EC3">
      <w:pPr>
        <w:pStyle w:val="Normal2"/>
        <w:spacing w:after="0"/>
        <w:ind w:left="1440"/>
        <w:rPr>
          <w:lang w:val="en-US"/>
        </w:rPr>
      </w:pPr>
      <w:r w:rsidRPr="00B12EC3">
        <w:rPr>
          <w:lang w:val="en-US"/>
        </w:rPr>
        <w:t>(a)  if they do so with the agreement of the licence holder, or</w:t>
      </w:r>
    </w:p>
    <w:p w14:paraId="0EE3B946" w14:textId="77777777" w:rsidR="00B12EC3" w:rsidRPr="00B12EC3" w:rsidRDefault="00B12EC3" w:rsidP="00B12EC3">
      <w:pPr>
        <w:pStyle w:val="Normal2"/>
        <w:spacing w:after="360"/>
        <w:ind w:left="1440"/>
        <w:rPr>
          <w:lang w:val="en-US"/>
        </w:rPr>
      </w:pPr>
      <w:r w:rsidRPr="00B12EC3">
        <w:rPr>
          <w:lang w:val="en-US"/>
        </w:rPr>
        <w:t>(b)  if they consider that there has been a change of circumstances since the time when the licence was granted.</w:t>
      </w:r>
    </w:p>
    <w:p w14:paraId="40E8F722" w14:textId="12B179E4" w:rsidR="00B12EC3" w:rsidRDefault="00B12EC3" w:rsidP="00B12EC3">
      <w:pPr>
        <w:pStyle w:val="Normal2"/>
        <w:spacing w:after="360"/>
        <w:ind w:left="1440"/>
        <w:rPr>
          <w:lang w:val="en-US"/>
        </w:rPr>
      </w:pPr>
      <w:r w:rsidRPr="00B12EC3">
        <w:rPr>
          <w:lang w:val="en-US"/>
        </w:rPr>
        <w:t> For this purpose </w:t>
      </w:r>
      <w:r w:rsidRPr="00B12EC3">
        <w:rPr>
          <w:i/>
          <w:iCs/>
          <w:lang w:val="en-US"/>
        </w:rPr>
        <w:t>“change of circumstances” </w:t>
      </w:r>
      <w:r w:rsidRPr="00B12EC3">
        <w:rPr>
          <w:lang w:val="en-US"/>
        </w:rPr>
        <w:t>includes any discovery of new information.</w:t>
      </w:r>
    </w:p>
    <w:p w14:paraId="7F7CCCEA" w14:textId="6EBC72D5" w:rsidR="00C87A80" w:rsidRPr="00C87A80" w:rsidRDefault="00C87A80" w:rsidP="00C87A80">
      <w:pPr>
        <w:pStyle w:val="Normal2"/>
        <w:spacing w:after="360"/>
        <w:rPr>
          <w:i/>
          <w:iCs/>
          <w:lang w:val="en-US"/>
        </w:rPr>
      </w:pPr>
      <w:r>
        <w:rPr>
          <w:i/>
          <w:iCs/>
          <w:lang w:val="en-US"/>
        </w:rPr>
        <w:t>The offence created by section 95(1)</w:t>
      </w:r>
    </w:p>
    <w:p w14:paraId="0E70BA66" w14:textId="0932286E" w:rsidR="007D307F" w:rsidRDefault="00A40C0A" w:rsidP="00C82729">
      <w:pPr>
        <w:pStyle w:val="Normal2"/>
        <w:numPr>
          <w:ilvl w:val="0"/>
          <w:numId w:val="52"/>
        </w:numPr>
        <w:spacing w:after="360"/>
        <w:ind w:left="567" w:hanging="567"/>
      </w:pPr>
      <w:r>
        <w:t>The appeal concerns the offence created by section 95(1) of the 2004 Act:</w:t>
      </w:r>
    </w:p>
    <w:p w14:paraId="3E1B5BDD" w14:textId="4E881637" w:rsidR="00A40C0A" w:rsidRDefault="00A40C0A" w:rsidP="00A40C0A">
      <w:pPr>
        <w:pStyle w:val="Normal2"/>
        <w:spacing w:after="360"/>
        <w:ind w:left="1440"/>
      </w:pPr>
      <w:r>
        <w:t>“</w:t>
      </w:r>
      <w:r w:rsidRPr="00A40C0A">
        <w:t>(1)  A person commits an offence if he is a person having control of or managing a house which is required to be licensed under this Part (see </w:t>
      </w:r>
      <w:hyperlink r:id="rId33" w:history="1">
        <w:r w:rsidRPr="00A40C0A">
          <w:rPr>
            <w:rStyle w:val="Hyperlink"/>
            <w:color w:val="auto"/>
            <w:u w:val="none"/>
          </w:rPr>
          <w:t>section 85(1)</w:t>
        </w:r>
      </w:hyperlink>
      <w:r w:rsidRPr="00A40C0A">
        <w:t>) but is not so licensed.</w:t>
      </w:r>
      <w:r>
        <w:t>”</w:t>
      </w:r>
    </w:p>
    <w:p w14:paraId="07C29B54" w14:textId="2248D931" w:rsidR="001F7E73" w:rsidRDefault="005F5411" w:rsidP="008963B1">
      <w:pPr>
        <w:pStyle w:val="Normal2"/>
        <w:numPr>
          <w:ilvl w:val="0"/>
          <w:numId w:val="52"/>
        </w:numPr>
        <w:spacing w:after="360"/>
        <w:ind w:left="567" w:hanging="567"/>
      </w:pPr>
      <w:r>
        <w:t xml:space="preserve">Section 263 </w:t>
      </w:r>
      <w:r w:rsidR="00674B2B">
        <w:t>states</w:t>
      </w:r>
      <w:r>
        <w:t xml:space="preserve"> that the “person having control” in relation to premises means the person who receives the rack-rent of the premises, or would receive it if it were let at a rack-rent</w:t>
      </w:r>
      <w:r w:rsidR="00674B2B">
        <w:t>. So a freeholder who has let a house or flat on an assured shorthold tenancy is in control of it; if the freeholder grants a long lease of the premises at a peppercorn rent then he or she is no longer in control of it because only the long leaseholder is in a position to let it at a rack-rent.</w:t>
      </w:r>
    </w:p>
    <w:p w14:paraId="231296AB" w14:textId="2D2E67BA" w:rsidR="00674B2B" w:rsidRDefault="00674B2B" w:rsidP="008963B1">
      <w:pPr>
        <w:pStyle w:val="Normal2"/>
        <w:numPr>
          <w:ilvl w:val="0"/>
          <w:numId w:val="52"/>
        </w:numPr>
        <w:spacing w:after="360"/>
        <w:ind w:left="567" w:hanging="567"/>
      </w:pPr>
      <w:r>
        <w:lastRenderedPageBreak/>
        <w:t>Section 263 also defines the “person managing” premises, as an owner or lessee who receives rent from the occupiers</w:t>
      </w:r>
      <w:r w:rsidR="0022532B">
        <w:t xml:space="preserve"> of </w:t>
      </w:r>
      <w:r>
        <w:t>a Part 3 house, or would receive it but for an arrangement for another person to receive it.</w:t>
      </w:r>
      <w:r w:rsidR="00B15F5E">
        <w:t xml:space="preserve"> Where the freeholder grants a long lease of the premises and the lessee then sub-lets, the freeholder is not managing the premises because he or she is not entitled to rent from the occupiers.</w:t>
      </w:r>
    </w:p>
    <w:p w14:paraId="17887748" w14:textId="7136870E" w:rsidR="00674B2B" w:rsidRDefault="008963B1" w:rsidP="008963B1">
      <w:pPr>
        <w:pStyle w:val="Normal2"/>
        <w:numPr>
          <w:ilvl w:val="0"/>
          <w:numId w:val="52"/>
        </w:numPr>
        <w:spacing w:after="360"/>
        <w:ind w:left="567" w:hanging="567"/>
      </w:pPr>
      <w:r>
        <w:t>A person who commits th</w:t>
      </w:r>
      <w:r w:rsidR="00674B2B">
        <w:t>e</w:t>
      </w:r>
      <w:r>
        <w:t xml:space="preserve"> offence </w:t>
      </w:r>
      <w:r w:rsidR="00674B2B">
        <w:t xml:space="preserve">created by section 95(1) </w:t>
      </w:r>
      <w:r>
        <w:t xml:space="preserve">may be prosecuted; </w:t>
      </w:r>
      <w:r w:rsidR="00674B2B">
        <w:t xml:space="preserve">alternatively </w:t>
      </w:r>
      <w:r w:rsidR="00186A03">
        <w:t>the local housing authority may require them</w:t>
      </w:r>
      <w:r>
        <w:t xml:space="preserve"> to pay a financial penalty under section 249A(1) of </w:t>
      </w:r>
      <w:r w:rsidR="00713D21">
        <w:t>th</w:t>
      </w:r>
      <w:r>
        <w:t>e 2004 Act. In addition (to prosecution or to a financial penalty) a landlord who commits the offence m</w:t>
      </w:r>
      <w:r w:rsidR="00674B2B">
        <w:t>a</w:t>
      </w:r>
      <w:r>
        <w:t>y be subject to a rent repayment order pursuant to section 41 of the Housing and Planning Act 2016.</w:t>
      </w:r>
      <w:r w:rsidR="00674B2B">
        <w:t xml:space="preserve"> </w:t>
      </w:r>
    </w:p>
    <w:p w14:paraId="55C90F3A" w14:textId="0F12F7BC" w:rsidR="008963B1" w:rsidRDefault="00674B2B" w:rsidP="008963B1">
      <w:pPr>
        <w:pStyle w:val="Normal2"/>
        <w:numPr>
          <w:ilvl w:val="0"/>
          <w:numId w:val="52"/>
        </w:numPr>
        <w:spacing w:after="360"/>
        <w:ind w:left="567" w:hanging="567"/>
      </w:pPr>
      <w:r>
        <w:t>Paragraph 10 of Schedule 13A gives the FTT jurisdiction to hear appeals from financial penalties imposed by local housing authorities, and the present appeal is from a decision of the FTT exercising that jurisdiction.</w:t>
      </w:r>
    </w:p>
    <w:p w14:paraId="53898E7A" w14:textId="362D76C5" w:rsidR="007D307F" w:rsidRPr="00A40C0A" w:rsidRDefault="00A40C0A" w:rsidP="00A40C0A">
      <w:pPr>
        <w:pStyle w:val="Normal2"/>
        <w:spacing w:after="360"/>
        <w:rPr>
          <w:b/>
          <w:bCs/>
        </w:rPr>
      </w:pPr>
      <w:r>
        <w:rPr>
          <w:b/>
          <w:bCs/>
        </w:rPr>
        <w:t>The facts</w:t>
      </w:r>
      <w:r w:rsidR="00C6245C">
        <w:rPr>
          <w:b/>
          <w:bCs/>
        </w:rPr>
        <w:t>, and the FTT’s decision</w:t>
      </w:r>
    </w:p>
    <w:p w14:paraId="1B2F8D4C" w14:textId="7EF35724" w:rsidR="00A40C0A" w:rsidRDefault="00186A03" w:rsidP="00C82729">
      <w:pPr>
        <w:pStyle w:val="Normal2"/>
        <w:numPr>
          <w:ilvl w:val="0"/>
          <w:numId w:val="52"/>
        </w:numPr>
        <w:spacing w:after="360"/>
        <w:ind w:left="567" w:hanging="567"/>
      </w:pPr>
      <w:r>
        <w:t xml:space="preserve">William </w:t>
      </w:r>
      <w:r w:rsidR="00A40C0A">
        <w:t>Meadows House</w:t>
      </w:r>
      <w:r w:rsidR="008F14D5">
        <w:t xml:space="preserve"> </w:t>
      </w:r>
      <w:r w:rsidR="00A40C0A">
        <w:t>in Margate, Kent</w:t>
      </w:r>
      <w:r w:rsidR="008F14D5">
        <w:t>,</w:t>
      </w:r>
      <w:r w:rsidR="00A40C0A">
        <w:t xml:space="preserve"> </w:t>
      </w:r>
      <w:r w:rsidR="008F14D5">
        <w:t>i</w:t>
      </w:r>
      <w:r w:rsidR="00A40C0A">
        <w:t xml:space="preserve">s a </w:t>
      </w:r>
      <w:r w:rsidR="008F14D5">
        <w:t xml:space="preserve">mid-terrace period house converted into 22 flats, in an area which between 2011 and 20 April 2021 was designated by the respondent as a selective licensing area. In February 2020 the appellant acquired the freehold of </w:t>
      </w:r>
      <w:r>
        <w:t>the building</w:t>
      </w:r>
      <w:r w:rsidR="008D3DF6">
        <w:t>; some of the flats were already tenanted, and the appellant itself granted tenancies of some of the flats</w:t>
      </w:r>
      <w:r w:rsidR="008963B1">
        <w:t>. The appellant’s predecessor in title had held a licence for the building. The director of the appellant did not realise that licences are not transferable; no application was made for a licence by the appellant until March 2021, and a licence was issued on 23 April 2021.</w:t>
      </w:r>
    </w:p>
    <w:p w14:paraId="3360B370" w14:textId="6FAA7B80" w:rsidR="008963B1" w:rsidRDefault="008963B1" w:rsidP="00C82729">
      <w:pPr>
        <w:pStyle w:val="Normal2"/>
        <w:numPr>
          <w:ilvl w:val="0"/>
          <w:numId w:val="52"/>
        </w:numPr>
        <w:spacing w:after="360"/>
        <w:ind w:left="567" w:hanging="567"/>
      </w:pPr>
      <w:r>
        <w:t>Meanwhile the local housing authority had contacted the appellant pointing out the requirement for a licence. Notices of Intent to impose a financial penalty were sent to the appellant in respect of five of the flats</w:t>
      </w:r>
      <w:r w:rsidR="00713D21">
        <w:t xml:space="preserve"> (flats 10, 12, 17, 19 and 21)</w:t>
      </w:r>
      <w:r>
        <w:t xml:space="preserve"> in January 2021</w:t>
      </w:r>
      <w:r w:rsidR="00871787">
        <w:t xml:space="preserve"> on the basis that </w:t>
      </w:r>
      <w:r w:rsidR="00E604EB">
        <w:t xml:space="preserve">the appellant </w:t>
      </w:r>
      <w:r w:rsidR="00871787">
        <w:t>was committing the section 95(1) offence</w:t>
      </w:r>
      <w:r w:rsidR="00E604EB">
        <w:t xml:space="preserve"> as the person managing those flats</w:t>
      </w:r>
      <w:r w:rsidR="00871787">
        <w:t xml:space="preserve">. A </w:t>
      </w:r>
      <w:r>
        <w:t xml:space="preserve">Final Notice in respect of each of those flats, imposing a financial penalty of £10,000 </w:t>
      </w:r>
      <w:r w:rsidR="00713D21">
        <w:t>i</w:t>
      </w:r>
      <w:r>
        <w:t>n each case, was issued on 16 March 2021.</w:t>
      </w:r>
    </w:p>
    <w:p w14:paraId="222CB3C8" w14:textId="7A50D648" w:rsidR="000664A7" w:rsidRDefault="000664A7" w:rsidP="000664A7">
      <w:pPr>
        <w:pStyle w:val="Normal2"/>
        <w:numPr>
          <w:ilvl w:val="0"/>
          <w:numId w:val="52"/>
        </w:numPr>
        <w:spacing w:after="360"/>
        <w:ind w:left="567" w:hanging="567"/>
      </w:pPr>
      <w:r>
        <w:t>The respondent’s explanation (give</w:t>
      </w:r>
      <w:r w:rsidR="00E604EB">
        <w:t>n</w:t>
      </w:r>
      <w:r>
        <w:t xml:space="preserve"> to the FTT) for the imposition of five penalties was that it had only been able to gain access to five of the flats and that therefore it was only in respect of the five flats that it had the information it needed to establish that they were Part 3 houses and that the offence was being committed. It did not know, for example, which of the other flats were occupied, nor whether any of the flats was held on an exempt tenancy or licence.</w:t>
      </w:r>
    </w:p>
    <w:p w14:paraId="49CEB800" w14:textId="39F5C57E" w:rsidR="007D307F" w:rsidRDefault="00713D21" w:rsidP="00C82729">
      <w:pPr>
        <w:pStyle w:val="Normal2"/>
        <w:numPr>
          <w:ilvl w:val="0"/>
          <w:numId w:val="52"/>
        </w:numPr>
        <w:spacing w:after="360"/>
        <w:ind w:left="567" w:hanging="567"/>
      </w:pPr>
      <w:r>
        <w:t>The appellant appealed to the First-tier Tribunal</w:t>
      </w:r>
      <w:r w:rsidR="0094474E">
        <w:t xml:space="preserve"> pursuant to paragraph 10 of Schedule 13 to the 2004 Act</w:t>
      </w:r>
      <w:r>
        <w:t xml:space="preserve">. A defence of reasonable excuse failed, and there is no appeal from that. But the appellant also argued that it was not open to the local housing authority to impose five financial penalties; the </w:t>
      </w:r>
      <w:r w:rsidR="0094474E">
        <w:t xml:space="preserve">only </w:t>
      </w:r>
      <w:r w:rsidR="000664A7">
        <w:t xml:space="preserve">Part 3 </w:t>
      </w:r>
      <w:r>
        <w:t>house which was required to be licensed – and which indeed had been licensed before the appellant’s acquisition, and was eventually licensed on the appellant’s application - was the building, not the individual flats.</w:t>
      </w:r>
      <w:r w:rsidR="00C6245C">
        <w:t xml:space="preserve"> A licence cannot relate </w:t>
      </w:r>
      <w:r w:rsidR="00C6245C">
        <w:lastRenderedPageBreak/>
        <w:t xml:space="preserve">to more than one house, according to section 91(1), and therefore where the building itself was a </w:t>
      </w:r>
      <w:r w:rsidR="000664A7">
        <w:t xml:space="preserve">Part 3 </w:t>
      </w:r>
      <w:r w:rsidR="00C6245C">
        <w:t>house</w:t>
      </w:r>
      <w:r w:rsidR="000664A7">
        <w:t xml:space="preserve"> the </w:t>
      </w:r>
      <w:r w:rsidR="00C6245C">
        <w:t>individual flats could not be</w:t>
      </w:r>
      <w:r w:rsidR="000664A7">
        <w:t xml:space="preserve"> Part 3 houses</w:t>
      </w:r>
      <w:r w:rsidR="00C6245C">
        <w:t>.</w:t>
      </w:r>
    </w:p>
    <w:p w14:paraId="65F609D6" w14:textId="5AA3CDDB" w:rsidR="00DB7FBE" w:rsidRDefault="00713D21" w:rsidP="00C82729">
      <w:pPr>
        <w:pStyle w:val="Normal2"/>
        <w:numPr>
          <w:ilvl w:val="0"/>
          <w:numId w:val="52"/>
        </w:numPr>
        <w:spacing w:after="360"/>
        <w:ind w:left="567" w:hanging="567"/>
      </w:pPr>
      <w:r>
        <w:t xml:space="preserve">That argument </w:t>
      </w:r>
      <w:r w:rsidR="00C6245C">
        <w:t>did not find favour with</w:t>
      </w:r>
      <w:r>
        <w:t xml:space="preserve"> the FTT</w:t>
      </w:r>
      <w:r w:rsidR="00DB7FBE">
        <w:t>.</w:t>
      </w:r>
      <w:r w:rsidR="008457AA">
        <w:t xml:space="preserve"> It found that the “plain and ordinary meaning” of section 99 of the 2004 Act is that a flat falls within the definition of a house for the purposes of Part 3. It added that section 91(1) of the 2004 Act “may well prevent the grant of a licence for the whole house” (paragraph 44), although it took the view that “different considerations may apply to whether a licence may be granted to a person in respect of premises and whether a person commits an offence in relation to premises.”</w:t>
      </w:r>
    </w:p>
    <w:p w14:paraId="591D26B8" w14:textId="0EC64E65" w:rsidR="00871787" w:rsidRPr="00871787" w:rsidRDefault="00871787" w:rsidP="00871787">
      <w:pPr>
        <w:pStyle w:val="Normal2"/>
        <w:spacing w:after="360"/>
        <w:rPr>
          <w:b/>
          <w:bCs/>
        </w:rPr>
      </w:pPr>
      <w:r>
        <w:rPr>
          <w:b/>
          <w:bCs/>
        </w:rPr>
        <w:t>The appeal</w:t>
      </w:r>
    </w:p>
    <w:p w14:paraId="0A8E1935" w14:textId="1049ECF0" w:rsidR="00713D21" w:rsidRDefault="00DB7FBE" w:rsidP="00C82729">
      <w:pPr>
        <w:pStyle w:val="Normal2"/>
        <w:numPr>
          <w:ilvl w:val="0"/>
          <w:numId w:val="52"/>
        </w:numPr>
        <w:spacing w:after="360"/>
        <w:ind w:left="567" w:hanging="567"/>
      </w:pPr>
      <w:r>
        <w:t>T</w:t>
      </w:r>
      <w:r w:rsidR="00713D21">
        <w:t>he appellant appeals with permission from this Tribunal</w:t>
      </w:r>
      <w:r w:rsidR="00871787">
        <w:t>, on the ground that the flats are not Part 3 houses and that the only offence it committed was in relation to the whole house. Its thesis is that in any given case an individual can only commit one offence in relation to a building because there is only ever one Part 3 house so far as that person is concerned, whether it be the whole or part of the building.</w:t>
      </w:r>
    </w:p>
    <w:p w14:paraId="2427225E" w14:textId="4061D41E" w:rsidR="00871787" w:rsidRDefault="00871787" w:rsidP="00C82729">
      <w:pPr>
        <w:pStyle w:val="Normal2"/>
        <w:numPr>
          <w:ilvl w:val="0"/>
          <w:numId w:val="52"/>
        </w:numPr>
        <w:spacing w:after="360"/>
        <w:ind w:left="567" w:hanging="567"/>
      </w:pPr>
      <w:r>
        <w:t xml:space="preserve">The respondent’s position is that while the decision of the FTT as regards these five financial penalties was correct, that does not mean that </w:t>
      </w:r>
      <w:r w:rsidR="00E604EB">
        <w:t>s</w:t>
      </w:r>
      <w:r>
        <w:t xml:space="preserve">ection 91(1) renders it unlawful to licence the whole building. The scheme is flexible, and a licence can be granted to the freeholder </w:t>
      </w:r>
      <w:r w:rsidR="00056C39">
        <w:t>o</w:t>
      </w:r>
      <w:r>
        <w:t>f a building in respect of the whole building or of part of it, or of a single flat within it.</w:t>
      </w:r>
    </w:p>
    <w:p w14:paraId="48EF87F8" w14:textId="0DEDD5B2" w:rsidR="00871787" w:rsidRDefault="00871787" w:rsidP="00C82729">
      <w:pPr>
        <w:pStyle w:val="Normal2"/>
        <w:numPr>
          <w:ilvl w:val="0"/>
          <w:numId w:val="52"/>
        </w:numPr>
        <w:spacing w:after="360"/>
        <w:ind w:left="567" w:hanging="567"/>
      </w:pPr>
      <w:r>
        <w:t xml:space="preserve">The FTT’s decision was of course simply that the financial penalties were upheld. Its comment about the effect of section 91(1) was </w:t>
      </w:r>
      <w:r>
        <w:rPr>
          <w:i/>
          <w:iCs/>
        </w:rPr>
        <w:t>obiter</w:t>
      </w:r>
      <w:r>
        <w:t xml:space="preserve">, not part of its decision and of no legal effect, and its comment is not the subject of this appeal. Nevertheless it is important that in deciding the appeal </w:t>
      </w:r>
      <w:r w:rsidR="00B12EC3">
        <w:t>I explain</w:t>
      </w:r>
      <w:r>
        <w:t xml:space="preserve"> whether or not that </w:t>
      </w:r>
      <w:r>
        <w:rPr>
          <w:i/>
          <w:iCs/>
        </w:rPr>
        <w:t>obiter</w:t>
      </w:r>
      <w:r>
        <w:t xml:space="preserve"> comment was correct. It was not, </w:t>
      </w:r>
      <w:r w:rsidR="00B12EC3">
        <w:t>for the reasons given below</w:t>
      </w:r>
      <w:r>
        <w:t>, although the appeal fails and the decision of the FTT about the five penalties is upheld.</w:t>
      </w:r>
    </w:p>
    <w:p w14:paraId="43274A19" w14:textId="556622E7" w:rsidR="00986361" w:rsidRPr="00986361" w:rsidRDefault="00986361" w:rsidP="00986361">
      <w:pPr>
        <w:pStyle w:val="Normal2"/>
        <w:spacing w:after="360"/>
        <w:rPr>
          <w:b/>
          <w:bCs/>
        </w:rPr>
      </w:pPr>
      <w:r>
        <w:rPr>
          <w:b/>
          <w:bCs/>
        </w:rPr>
        <w:t>The appellant’s case on the appeal</w:t>
      </w:r>
    </w:p>
    <w:p w14:paraId="4D31AC95" w14:textId="4600C7FE" w:rsidR="007F2802" w:rsidRPr="007F2802" w:rsidRDefault="007F2802" w:rsidP="00713D21">
      <w:pPr>
        <w:pStyle w:val="Normal2"/>
        <w:spacing w:after="360"/>
        <w:rPr>
          <w:i/>
          <w:iCs/>
        </w:rPr>
      </w:pPr>
      <w:r>
        <w:rPr>
          <w:i/>
          <w:iCs/>
        </w:rPr>
        <w:t>The appellant’s construction of a “Part 3 house”</w:t>
      </w:r>
    </w:p>
    <w:p w14:paraId="7C625D87" w14:textId="49625944" w:rsidR="00073554" w:rsidRDefault="00542F03" w:rsidP="00C82729">
      <w:pPr>
        <w:pStyle w:val="Normal2"/>
        <w:numPr>
          <w:ilvl w:val="0"/>
          <w:numId w:val="52"/>
        </w:numPr>
        <w:spacing w:after="360"/>
        <w:ind w:left="567" w:hanging="567"/>
      </w:pPr>
      <w:r>
        <w:t xml:space="preserve">The appellant’s starting point is </w:t>
      </w:r>
      <w:r w:rsidR="00073554">
        <w:t xml:space="preserve">that if an individual flat in William Meadows House is a Part 3 house, then the consequence of section 91(1) is that it is unlawful to grant a licence for the whole building, because that would be a licence relating to 22 Part 3 houses. That, Mr Morris argues, is an unacceptable conclusion because the legislation makes it clear that Parliament intended it to be possible to licence the whole building. Section 99 refers to “a building consisting of one or more dwellings”, and section 79(b)(ii) is about a house occupied under two or more tenancies or licences in respect of different dwellings within it. Local housing authorities commonly licence whole buildings consisting of flats, and </w:t>
      </w:r>
      <w:r w:rsidR="008A4439">
        <w:t xml:space="preserve">guidance </w:t>
      </w:r>
      <w:r w:rsidR="00073554">
        <w:t xml:space="preserve">published </w:t>
      </w:r>
      <w:r w:rsidR="008A4439">
        <w:t>by this respondent (albeit in connection with an earlier</w:t>
      </w:r>
      <w:r w:rsidR="00073554">
        <w:t xml:space="preserve"> designation</w:t>
      </w:r>
      <w:r w:rsidR="008A4439">
        <w:t>)</w:t>
      </w:r>
      <w:r w:rsidR="00073554">
        <w:t xml:space="preserve"> </w:t>
      </w:r>
      <w:r w:rsidR="008A4439">
        <w:t xml:space="preserve"> </w:t>
      </w:r>
      <w:r w:rsidR="00073554">
        <w:t>advised the owner of a building divided into flats (whether converted or purpose-built) to make a single application for a licence for the whole property. This makes obvious administrative sense.</w:t>
      </w:r>
    </w:p>
    <w:p w14:paraId="66D19440" w14:textId="247382B2" w:rsidR="00E3201F" w:rsidRDefault="00073554" w:rsidP="00E3201F">
      <w:pPr>
        <w:pStyle w:val="Normal2"/>
        <w:numPr>
          <w:ilvl w:val="0"/>
          <w:numId w:val="52"/>
        </w:numPr>
        <w:spacing w:after="360"/>
        <w:ind w:left="567" w:hanging="567"/>
      </w:pPr>
      <w:r>
        <w:lastRenderedPageBreak/>
        <w:t>Therefore</w:t>
      </w:r>
      <w:r w:rsidR="00E3201F">
        <w:t xml:space="preserve"> the FTT’s decision, which brings with it such an unacceptable consequence, must be wrong. </w:t>
      </w:r>
    </w:p>
    <w:p w14:paraId="7E69A47A" w14:textId="6C5CC2C7" w:rsidR="007F2802" w:rsidRDefault="007F2802" w:rsidP="00E3201F">
      <w:pPr>
        <w:pStyle w:val="Normal2"/>
        <w:numPr>
          <w:ilvl w:val="0"/>
          <w:numId w:val="52"/>
        </w:numPr>
        <w:spacing w:after="360"/>
        <w:ind w:left="567" w:hanging="567"/>
      </w:pPr>
      <w:r>
        <w:t>Moreover, the idea that the whole of a building, or one flat within it, or any group of flats within it may be a Part 3 house offends the principle against do</w:t>
      </w:r>
      <w:r w:rsidR="00EC30E5">
        <w:t>u</w:t>
      </w:r>
      <w:r>
        <w:t xml:space="preserve">btful criminalisation, set out in the eighth </w:t>
      </w:r>
      <w:r w:rsidR="00EC30E5">
        <w:t xml:space="preserve">edition of </w:t>
      </w:r>
      <w:r w:rsidR="00EC30E5">
        <w:rPr>
          <w:i/>
          <w:iCs/>
        </w:rPr>
        <w:t>Bennion, Bailey and Norbury on Statutory Interpretation</w:t>
      </w:r>
      <w:r w:rsidR="00EC30E5">
        <w:t xml:space="preserve"> at paragraph 24.6:</w:t>
      </w:r>
    </w:p>
    <w:p w14:paraId="3DA940CF" w14:textId="00E1A74A" w:rsidR="00EC30E5" w:rsidRPr="00EC30E5" w:rsidRDefault="00EC30E5" w:rsidP="00EC30E5">
      <w:pPr>
        <w:pStyle w:val="Normal2"/>
        <w:spacing w:after="360"/>
        <w:ind w:left="1440"/>
      </w:pPr>
      <w:r>
        <w:t>“It is a clear principle of legal policy that a person should not be penalised except under clear law. This principle forms part of the context against which legislation is enacted and, when interpreting legislation, a court should take it into account.”</w:t>
      </w:r>
    </w:p>
    <w:p w14:paraId="5A524B93" w14:textId="4BD20BEA" w:rsidR="00EC30E5" w:rsidRDefault="00EC30E5" w:rsidP="00E3201F">
      <w:pPr>
        <w:pStyle w:val="Normal2"/>
        <w:numPr>
          <w:ilvl w:val="0"/>
          <w:numId w:val="52"/>
        </w:numPr>
        <w:spacing w:after="360"/>
        <w:ind w:left="567" w:hanging="567"/>
      </w:pPr>
      <w:r>
        <w:t>The learned authors go on to observe that the “the legislature is presumed to intend that a person on whom a hardship is inflicted should be given a fair w</w:t>
      </w:r>
      <w:r w:rsidR="00E604EB">
        <w:t>a</w:t>
      </w:r>
      <w:r>
        <w:t xml:space="preserve">rning”, and cite Brett J in </w:t>
      </w:r>
      <w:r>
        <w:rPr>
          <w:i/>
          <w:iCs/>
        </w:rPr>
        <w:t>Dickenson v Fletcher</w:t>
      </w:r>
      <w:r>
        <w:t xml:space="preserve"> (1873) LR 9 CP 1 at 7:</w:t>
      </w:r>
    </w:p>
    <w:p w14:paraId="59A07C7A" w14:textId="541FDB03" w:rsidR="00EC30E5" w:rsidRDefault="00EC30E5" w:rsidP="00EC30E5">
      <w:pPr>
        <w:pStyle w:val="Normal2"/>
        <w:spacing w:after="360"/>
        <w:ind w:left="1440"/>
      </w:pPr>
      <w:r>
        <w:t>“Those who contend that a penalty may be inflicted must show that the words of the Act distinctly enact that it shall be incurred under the present circumstances. They must fail if the words are merely equally capable of a constr</w:t>
      </w:r>
      <w:r w:rsidR="00E604EB">
        <w:t>u</w:t>
      </w:r>
      <w:r>
        <w:t>ction that would, and one that would not, inflict the penalty.”</w:t>
      </w:r>
    </w:p>
    <w:p w14:paraId="36AEC344" w14:textId="5830EE23" w:rsidR="00EC30E5" w:rsidRDefault="00EC30E5" w:rsidP="00E3201F">
      <w:pPr>
        <w:pStyle w:val="Normal2"/>
        <w:numPr>
          <w:ilvl w:val="0"/>
          <w:numId w:val="52"/>
        </w:numPr>
        <w:spacing w:after="360"/>
        <w:ind w:left="567" w:hanging="567"/>
      </w:pPr>
      <w:r>
        <w:t>Therefor</w:t>
      </w:r>
      <w:r w:rsidR="00575BD9">
        <w:t xml:space="preserve">e, Mr Morris argues, </w:t>
      </w:r>
      <w:r>
        <w:t>a situation where a landlord is at risk o</w:t>
      </w:r>
      <w:r w:rsidR="00575BD9">
        <w:t>f commi</w:t>
      </w:r>
      <w:r w:rsidR="00986361">
        <w:t>t</w:t>
      </w:r>
      <w:r w:rsidR="00575BD9">
        <w:t>ti</w:t>
      </w:r>
      <w:r>
        <w:t>n</w:t>
      </w:r>
      <w:r w:rsidR="00575BD9">
        <w:t>g</w:t>
      </w:r>
      <w:r>
        <w:t xml:space="preserve"> an unknown number of offences – relating to one flat, the whole building, or to any combination of the 22 flats – is unacceptable. Faced with a choice between t</w:t>
      </w:r>
      <w:r w:rsidR="00B15F5E">
        <w:t>hat</w:t>
      </w:r>
      <w:r>
        <w:t xml:space="preserve"> and a construction of the statute that has the appellant committing one offence only, the Tribunal should favour the latter. </w:t>
      </w:r>
      <w:r w:rsidR="00B15F5E">
        <w:t>The appellant says that there must be, for any landlord,</w:t>
      </w:r>
      <w:r>
        <w:t xml:space="preserve"> one Part 3 house and one offence; and the Part 3 house to which the section 95(1)</w:t>
      </w:r>
      <w:r w:rsidR="00B12EC3">
        <w:t xml:space="preserve"> offence</w:t>
      </w:r>
      <w:r>
        <w:t xml:space="preserve"> </w:t>
      </w:r>
      <w:r w:rsidR="00B15F5E">
        <w:t xml:space="preserve">relates </w:t>
      </w:r>
      <w:r>
        <w:t>must be the only one in respect of which a licence could be granted.</w:t>
      </w:r>
      <w:r w:rsidR="00575BD9">
        <w:t xml:space="preserve"> Put another way, the number of offences committed must correspond with the number of Part 3 houses required to be licensed</w:t>
      </w:r>
      <w:r w:rsidR="00B15F5E">
        <w:t xml:space="preserve"> and the number of licences that can be issued.</w:t>
      </w:r>
    </w:p>
    <w:p w14:paraId="19D073E5" w14:textId="4F0C0091" w:rsidR="00575BD9" w:rsidRDefault="00575BD9" w:rsidP="00E3201F">
      <w:pPr>
        <w:pStyle w:val="Normal2"/>
        <w:numPr>
          <w:ilvl w:val="0"/>
          <w:numId w:val="52"/>
        </w:numPr>
        <w:spacing w:after="360"/>
        <w:ind w:left="567" w:hanging="567"/>
      </w:pPr>
      <w:r>
        <w:t>Moreover, for the local housing authority to decide in each case what is the Part 3 house – a flat, a group of flats or the whole building – is an unacceptably broad discretion and would lead to arbitrary outcomes.</w:t>
      </w:r>
    </w:p>
    <w:p w14:paraId="1B71E8DB" w14:textId="59B28AEE" w:rsidR="00073554" w:rsidRDefault="00073554" w:rsidP="00E3201F">
      <w:pPr>
        <w:pStyle w:val="Normal2"/>
        <w:numPr>
          <w:ilvl w:val="0"/>
          <w:numId w:val="52"/>
        </w:numPr>
        <w:spacing w:after="360"/>
        <w:ind w:left="567" w:hanging="567"/>
      </w:pPr>
      <w:r>
        <w:t>Mr Morris</w:t>
      </w:r>
      <w:r w:rsidR="00EC30E5">
        <w:t xml:space="preserve"> therefore argues that</w:t>
      </w:r>
      <w:r>
        <w:t xml:space="preserve"> the correct approach to Part 3 </w:t>
      </w:r>
      <w:r w:rsidR="00E3201F">
        <w:t xml:space="preserve">is to appreciate that </w:t>
      </w:r>
      <w:r w:rsidR="00542F03">
        <w:t xml:space="preserve">the definition </w:t>
      </w:r>
      <w:r w:rsidR="00E3201F">
        <w:t xml:space="preserve">of a house </w:t>
      </w:r>
      <w:r w:rsidR="00542F03">
        <w:t xml:space="preserve">in section 99 is not determinative of what is a </w:t>
      </w:r>
      <w:r w:rsidR="00E3201F">
        <w:t>Part 3 house</w:t>
      </w:r>
      <w:r w:rsidR="00542F03">
        <w:t xml:space="preserve">; instead </w:t>
      </w:r>
      <w:r w:rsidR="00E3201F">
        <w:t>section 99</w:t>
      </w:r>
      <w:r w:rsidR="00542F03">
        <w:t xml:space="preserve"> provides the </w:t>
      </w:r>
      <w:r w:rsidR="00B15F5E">
        <w:t>“raw material” from</w:t>
      </w:r>
      <w:r w:rsidR="00542F03">
        <w:t xml:space="preserve"> which housing authorities and landlords can “construct a Part 3 house in every given case</w:t>
      </w:r>
      <w:r w:rsidR="00B15F5E">
        <w:t>, using the tools provided by the other sections of the Act</w:t>
      </w:r>
      <w:r w:rsidR="00542F03">
        <w:t>” (I quote from Mr Morris’ skeleton).</w:t>
      </w:r>
      <w:r w:rsidR="00575BD9">
        <w:t xml:space="preserve"> But this is not to be done by an arbitrary exercise of discretion by the local housing authority, nor is it a matter of choice for the landlord. </w:t>
      </w:r>
      <w:r w:rsidR="00EA64AD">
        <w:t xml:space="preserve">Section 91(1) is of critical importance and takes away that potential choice by determining the answer. The FTT thought that the answer was that the Part 3 house was the smallest possible unit, the flat. But that is unacceptable for the reasons explained. </w:t>
      </w:r>
      <w:r w:rsidR="00575BD9">
        <w:t>Instead, th</w:t>
      </w:r>
      <w:r w:rsidR="00E3201F">
        <w:t xml:space="preserve">e </w:t>
      </w:r>
      <w:r w:rsidR="00B15F5E">
        <w:t xml:space="preserve">Part 3 </w:t>
      </w:r>
      <w:r w:rsidR="00E3201F">
        <w:t>house to be constructed must be the largest possible unit</w:t>
      </w:r>
      <w:r w:rsidR="00EA64AD">
        <w:t>, or combination of dwellings,</w:t>
      </w:r>
      <w:r w:rsidR="00E3201F">
        <w:t xml:space="preserve"> in a given case that can satisfy the requirement in section 79(2)(b)(ii). If it is possible to licence the whole of a building comprising flats, then that is the Part 3 house; no </w:t>
      </w:r>
      <w:r w:rsidR="00E3201F">
        <w:lastRenderedPageBreak/>
        <w:t>smaller part of that building can be a Part 3 house (because that would run headlong into section 91(1)</w:t>
      </w:r>
      <w:r w:rsidR="00A71443">
        <w:t>)</w:t>
      </w:r>
      <w:r w:rsidR="00E3201F">
        <w:t>.</w:t>
      </w:r>
      <w:r w:rsidR="00575BD9">
        <w:t xml:space="preserve"> </w:t>
      </w:r>
      <w:r w:rsidR="00EA64AD">
        <w:t>If one of the flats in the building is subject to an exempt tenancy or licence, or is subject to an intermediate lease, then that is to be excluded, and the Part 3 house is the remaining part of the building.</w:t>
      </w:r>
    </w:p>
    <w:p w14:paraId="4B1B1F6D" w14:textId="3413DA97" w:rsidR="00986361" w:rsidRDefault="00986361" w:rsidP="00D1773C">
      <w:pPr>
        <w:pStyle w:val="Normal2"/>
        <w:numPr>
          <w:ilvl w:val="0"/>
          <w:numId w:val="52"/>
        </w:numPr>
        <w:spacing w:after="360"/>
        <w:ind w:left="567" w:hanging="567"/>
      </w:pPr>
      <w:r>
        <w:t>Obviously flats that are initially not within the Part 3 house may come to be part of it later. Where a landlord owns a block of 10 flats but two are let on long leases and then sub-let,  the Part 3 house is only the other eight flats which the landlord lets to occupiers</w:t>
      </w:r>
      <w:r w:rsidR="0022532B">
        <w:t xml:space="preserve">. If </w:t>
      </w:r>
      <w:r>
        <w:t>later the other two flats fall into possession, on Mr Morris’ case the Part 3 house is now the whole building</w:t>
      </w:r>
      <w:r w:rsidR="00B15F5E">
        <w:t>. He</w:t>
      </w:r>
      <w:r>
        <w:t xml:space="preserve"> argues that the power to vary a licence in section 92 of the 2004 Act would enable the licence to be extended to cover all ten flats; alternatively the landlord could obtain a new licence for the whole</w:t>
      </w:r>
      <w:r w:rsidR="00D1773C">
        <w:t>.</w:t>
      </w:r>
    </w:p>
    <w:p w14:paraId="527496A9" w14:textId="3A030754" w:rsidR="00986361" w:rsidRPr="00986361" w:rsidRDefault="00986361" w:rsidP="00986361">
      <w:pPr>
        <w:pStyle w:val="Normal2"/>
        <w:spacing w:after="360"/>
        <w:rPr>
          <w:i/>
          <w:iCs/>
        </w:rPr>
      </w:pPr>
      <w:r>
        <w:rPr>
          <w:i/>
          <w:iCs/>
        </w:rPr>
        <w:t>The appellant’s argument about occupation</w:t>
      </w:r>
    </w:p>
    <w:p w14:paraId="54A2D08F" w14:textId="40F83457" w:rsidR="00A71443" w:rsidRPr="00831527" w:rsidRDefault="00E3201F" w:rsidP="0022532B">
      <w:pPr>
        <w:pStyle w:val="Normal2"/>
        <w:numPr>
          <w:ilvl w:val="0"/>
          <w:numId w:val="52"/>
        </w:numPr>
        <w:spacing w:after="360"/>
        <w:ind w:left="567" w:hanging="567"/>
        <w:rPr>
          <w:lang w:val="en-US"/>
        </w:rPr>
      </w:pPr>
      <w:r>
        <w:t xml:space="preserve">It will be recalled that in the present case the local housing authority did not know how much of the building was occupied at the time when it served its Notices of Intent (see paragraph </w:t>
      </w:r>
      <w:r w:rsidR="00B12EC3">
        <w:t>21</w:t>
      </w:r>
      <w:r>
        <w:t xml:space="preserve"> above); and section 79(2) applies Part 3 to a house if “the whole of it is occupied…”. Mr Morris argues that the word “occupied” in this context means “occupied or intended to be occupied”. </w:t>
      </w:r>
      <w:r w:rsidR="0022532B">
        <w:t>He says that i</w:t>
      </w:r>
      <w:r>
        <w:t>t must do, because that is how section 99 defines a dwelling, and section 79 cannot cut down what section 99 has set up. Parliament</w:t>
      </w:r>
      <w:r w:rsidR="00A71443">
        <w:t>’s intention was that</w:t>
      </w:r>
      <w:r>
        <w:t xml:space="preserve"> houses </w:t>
      </w:r>
      <w:r w:rsidR="00A71443">
        <w:t xml:space="preserve">are </w:t>
      </w:r>
      <w:r>
        <w:t>to be licensed if they are intended to be occupied</w:t>
      </w:r>
      <w:r w:rsidR="00A71443">
        <w:t>. Where a house consist</w:t>
      </w:r>
      <w:r w:rsidR="00EC30E5">
        <w:t>s</w:t>
      </w:r>
      <w:r w:rsidR="00A71443">
        <w:t xml:space="preserve"> of a number of flats, it is not the case that it must be licensed only when the final flat is </w:t>
      </w:r>
      <w:r w:rsidR="0022532B">
        <w:t>let</w:t>
      </w:r>
      <w:r w:rsidR="00A71443">
        <w:t xml:space="preserve">. </w:t>
      </w:r>
    </w:p>
    <w:p w14:paraId="1E5AA649" w14:textId="04368446" w:rsidR="00A71443" w:rsidRDefault="00A71443" w:rsidP="00C82729">
      <w:pPr>
        <w:pStyle w:val="Normal2"/>
        <w:numPr>
          <w:ilvl w:val="0"/>
          <w:numId w:val="52"/>
        </w:numPr>
        <w:spacing w:after="360"/>
        <w:ind w:left="567" w:hanging="567"/>
      </w:pPr>
      <w:r>
        <w:t>Mr Morris argues that the requirement is not that the whole of the building is actually occupied, but that it is entirely occupied by two or more non-exempt tenancies. That is consistent with the idea that a house includes the garden and outbuildings (see section 99), which are common parts and not “occupied” under any of the flat tenancies. If a building consists of three flats, two of which are occupied under non-exempt tenancies or licences but the third of which is unlet, then the whole building is the Part 3 house that is required to be licensed. And that means that the identity of the Part 3 house is stable and does not change every time a new licence or tenancy is granted</w:t>
      </w:r>
      <w:r w:rsidR="007F2802">
        <w:t xml:space="preserve">. The difficulty that the respondent </w:t>
      </w:r>
      <w:r w:rsidR="0022532B">
        <w:t>thought it had</w:t>
      </w:r>
      <w:r w:rsidR="007F2802">
        <w:t xml:space="preserve"> in this case does not arise</w:t>
      </w:r>
      <w:r w:rsidR="00B12EC3">
        <w:t>;</w:t>
      </w:r>
      <w:r w:rsidR="007F2802">
        <w:t xml:space="preserve"> it d</w:t>
      </w:r>
      <w:r w:rsidR="00B12EC3">
        <w:t>id</w:t>
      </w:r>
      <w:r w:rsidR="007F2802">
        <w:t xml:space="preserve"> not need to know whether all the flats are occupied. </w:t>
      </w:r>
    </w:p>
    <w:p w14:paraId="773D1983" w14:textId="6F243307" w:rsidR="007F2802" w:rsidRDefault="007F2802" w:rsidP="00C82729">
      <w:pPr>
        <w:pStyle w:val="Normal2"/>
        <w:numPr>
          <w:ilvl w:val="0"/>
          <w:numId w:val="52"/>
        </w:numPr>
        <w:spacing w:after="360"/>
        <w:ind w:left="567" w:hanging="567"/>
      </w:pPr>
      <w:r>
        <w:t>Mr Morris says that this explains why section 95(1) provides that a person commits the offence once the licensing requirement is engaged, which means that a licence must be acquired before tenants or licen</w:t>
      </w:r>
      <w:r w:rsidR="006E6AFA">
        <w:t>s</w:t>
      </w:r>
      <w:r>
        <w:t>ees are allowed into occupation; Parliament intended a licence to be acquired where the building was intended to be occupied, and not just where it was actually occupied.</w:t>
      </w:r>
    </w:p>
    <w:p w14:paraId="54FFD868" w14:textId="213CE9AC" w:rsidR="002518DC" w:rsidRDefault="002518DC" w:rsidP="00C82729">
      <w:pPr>
        <w:pStyle w:val="Normal2"/>
        <w:numPr>
          <w:ilvl w:val="0"/>
          <w:numId w:val="52"/>
        </w:numPr>
        <w:spacing w:after="360"/>
        <w:ind w:left="567" w:hanging="567"/>
      </w:pPr>
      <w:r>
        <w:t>Mr Morris also argues that if section 79(2) is cons</w:t>
      </w:r>
      <w:r w:rsidR="00642D29">
        <w:t>t</w:t>
      </w:r>
      <w:r>
        <w:t>rued literally then if a whole block were licensed and one flat became vacant then the block would cease to be a Part 3 house.</w:t>
      </w:r>
    </w:p>
    <w:p w14:paraId="38DD4241" w14:textId="48CAFC4A" w:rsidR="00986361" w:rsidRPr="00986361" w:rsidRDefault="00986361" w:rsidP="00986361">
      <w:pPr>
        <w:pStyle w:val="Normal2"/>
        <w:spacing w:after="360"/>
        <w:rPr>
          <w:i/>
          <w:iCs/>
        </w:rPr>
      </w:pPr>
      <w:r>
        <w:rPr>
          <w:i/>
          <w:iCs/>
        </w:rPr>
        <w:t>The appellant’s construction of the section 95(1) offence</w:t>
      </w:r>
    </w:p>
    <w:p w14:paraId="562BE2D5" w14:textId="123B5288" w:rsidR="00EA64AD" w:rsidRDefault="00EA64AD" w:rsidP="00C82729">
      <w:pPr>
        <w:pStyle w:val="Normal2"/>
        <w:numPr>
          <w:ilvl w:val="0"/>
          <w:numId w:val="52"/>
        </w:numPr>
        <w:spacing w:after="360"/>
        <w:ind w:left="567" w:hanging="567"/>
      </w:pPr>
      <w:r>
        <w:t>The other rea</w:t>
      </w:r>
      <w:r w:rsidR="0022532B">
        <w:t>son</w:t>
      </w:r>
      <w:r>
        <w:t xml:space="preserve"> why part of a building </w:t>
      </w:r>
      <w:r w:rsidR="0022532B">
        <w:t>may not</w:t>
      </w:r>
      <w:r>
        <w:t xml:space="preserve"> </w:t>
      </w:r>
      <w:r w:rsidR="00134977">
        <w:t>fall within</w:t>
      </w:r>
      <w:r>
        <w:t xml:space="preserve"> a Part 3 house</w:t>
      </w:r>
      <w:r w:rsidR="0022532B">
        <w:t xml:space="preserve"> is</w:t>
      </w:r>
      <w:r>
        <w:t xml:space="preserve"> </w:t>
      </w:r>
      <w:r w:rsidR="0022532B">
        <w:t>that</w:t>
      </w:r>
      <w:r>
        <w:t xml:space="preserve"> it is occupied under an exempt tenancy or licence. The </w:t>
      </w:r>
      <w:r w:rsidR="002518DC">
        <w:t>respondent</w:t>
      </w:r>
      <w:r>
        <w:t xml:space="preserve"> in this case did not know </w:t>
      </w:r>
      <w:r>
        <w:lastRenderedPageBreak/>
        <w:t xml:space="preserve">whether any of the flats was so occupied and in many cases </w:t>
      </w:r>
      <w:r w:rsidR="002518DC">
        <w:t xml:space="preserve">the local housing authority </w:t>
      </w:r>
      <w:r>
        <w:t xml:space="preserve">will not know. Moreover, although in the present case the respondent knew that the appellant owned the freehold of the building, in other cases it may be aware that </w:t>
      </w:r>
      <w:r w:rsidR="002518DC">
        <w:t>a person is in control of or managing part of a building but may have no way of knowing whether that person is in control of or managing the whole. Mr Morris accepts that that means that the local housing authority will not know the extent of the Part 3 house in respect of which the offence in section 95(1) is being committed. It knows, however, that there is a Part 3 house and that therefore an offence is being committed. And the offender knows the extent of the house and the exact nature of the offence and therefore is not subjected to doubtful penalisation.</w:t>
      </w:r>
      <w:r w:rsidR="00642D29">
        <w:t xml:space="preserve"> Similarly, </w:t>
      </w:r>
      <w:r w:rsidR="0022532B">
        <w:t>the tenant of a flat who applies f</w:t>
      </w:r>
      <w:r w:rsidR="00642D29">
        <w:t xml:space="preserve">or a rent repayment order does not need to know how many flats his landlord is in control of or managing; the applicant knows that there is a Part 3 house and that an offence is being committed if his or her own flat is unlicensed, and the landlord knows, even if he or she does not disclose, the extent of the Part 3 house. </w:t>
      </w:r>
    </w:p>
    <w:p w14:paraId="0B7B1662" w14:textId="7A559C22" w:rsidR="00713D21" w:rsidRPr="00713D21" w:rsidRDefault="00713D21" w:rsidP="00713D21">
      <w:pPr>
        <w:pStyle w:val="Normal2"/>
        <w:spacing w:after="360"/>
        <w:rPr>
          <w:b/>
          <w:bCs/>
        </w:rPr>
      </w:pPr>
      <w:r>
        <w:rPr>
          <w:b/>
          <w:bCs/>
        </w:rPr>
        <w:t>The respondent’s arguments</w:t>
      </w:r>
      <w:r w:rsidR="00986361">
        <w:rPr>
          <w:b/>
          <w:bCs/>
        </w:rPr>
        <w:t xml:space="preserve"> and the Tribunal’s conclusion</w:t>
      </w:r>
    </w:p>
    <w:p w14:paraId="2068FE97" w14:textId="12D62426" w:rsidR="00D1773C" w:rsidRDefault="00986361" w:rsidP="00C82729">
      <w:pPr>
        <w:pStyle w:val="Normal2"/>
        <w:numPr>
          <w:ilvl w:val="0"/>
          <w:numId w:val="52"/>
        </w:numPr>
        <w:spacing w:after="360"/>
        <w:ind w:left="567" w:hanging="567"/>
      </w:pPr>
      <w:r>
        <w:t xml:space="preserve">It is central to the respondent’s case that although the FTT’s decision was correct, it does not have the consequence that the FTT thought it has as a result of section 91(1). The essence of the Part 3 regime, according to Mr Bhose, is flexibility. The Act does not prescribe whether a block of flats owned by a single freeholder must be subject to one licence or several. That enables an appropriate response to nuanced circumstances, as we saw in </w:t>
      </w:r>
      <w:r>
        <w:rPr>
          <w:i/>
          <w:iCs/>
        </w:rPr>
        <w:t>London Borough of Waltham Forest v Khan</w:t>
      </w:r>
      <w:r>
        <w:t>, and to practical requirements</w:t>
      </w:r>
      <w:r w:rsidR="00056C39">
        <w:t>,</w:t>
      </w:r>
      <w:r>
        <w:t xml:space="preserve"> for example where a landlord wants to appoint different managers for different parts of the buildin</w:t>
      </w:r>
      <w:r w:rsidR="00D1773C">
        <w:t xml:space="preserve">g. </w:t>
      </w:r>
      <w:r w:rsidR="00087A2C">
        <w:t xml:space="preserve">There cannot be only one right answer to the question “what is the Part 3 house” in a situation involving two or more dwellings within a building, nor is there only one possible offence that the landlord of such a building can be charged with. </w:t>
      </w:r>
      <w:r w:rsidR="00D1773C">
        <w:t xml:space="preserve">Therefore section 91(1) cannot bear the weight placed upon it by Mr Morris. </w:t>
      </w:r>
    </w:p>
    <w:p w14:paraId="0FD9020D" w14:textId="77777777" w:rsidR="00D1773C" w:rsidRDefault="00D1773C" w:rsidP="00C82729">
      <w:pPr>
        <w:pStyle w:val="Normal2"/>
        <w:numPr>
          <w:ilvl w:val="0"/>
          <w:numId w:val="52"/>
        </w:numPr>
        <w:spacing w:after="360"/>
        <w:ind w:left="567" w:hanging="567"/>
      </w:pPr>
      <w:r>
        <w:t>Section 91(1) is worth repeating:</w:t>
      </w:r>
    </w:p>
    <w:p w14:paraId="44EF7348" w14:textId="253E3837" w:rsidR="00D1773C" w:rsidRDefault="00D1773C" w:rsidP="00D1773C">
      <w:pPr>
        <w:pStyle w:val="Normal2"/>
        <w:spacing w:after="360"/>
        <w:ind w:left="1440"/>
      </w:pPr>
      <w:r>
        <w:t>“A licence may not relate to more than one Part 3 house.”</w:t>
      </w:r>
    </w:p>
    <w:p w14:paraId="7D5ECCB1" w14:textId="7C459F5B" w:rsidR="00713D21" w:rsidRDefault="00D1773C" w:rsidP="00C82729">
      <w:pPr>
        <w:pStyle w:val="Normal2"/>
        <w:numPr>
          <w:ilvl w:val="0"/>
          <w:numId w:val="52"/>
        </w:numPr>
        <w:spacing w:after="360"/>
        <w:ind w:left="567" w:hanging="567"/>
      </w:pPr>
      <w:r>
        <w:t xml:space="preserve">For Mr Morris that means that a licence cannot be granted in respect of premises which could form more than one house. I take the view that that cannot be what it means, because the consequences that flow from that construction are </w:t>
      </w:r>
      <w:r w:rsidR="0022532B">
        <w:t>unacceptable</w:t>
      </w:r>
      <w:r>
        <w:t>. If that is what it means then either the only possible subject for a licence is the smallest possible unit, as the FTT thought might be the case and as Mr Morris says is the result of the FTTs decision, or the licence must relate to the largest possible unit in relation to an individual, as Mr Morris argues. Either way the flexibility that the Act obviously intended is lost, and thousands of licences already granted are in fact invalid (licences of individual flats on Mr Morris’ construction</w:t>
      </w:r>
      <w:r w:rsidR="0022532B">
        <w:t>, and</w:t>
      </w:r>
      <w:r>
        <w:t xml:space="preserve"> licences of blocks if the FTT’s </w:t>
      </w:r>
      <w:r>
        <w:rPr>
          <w:i/>
          <w:iCs/>
        </w:rPr>
        <w:t>obiter</w:t>
      </w:r>
      <w:r>
        <w:t xml:space="preserve"> comment is right).</w:t>
      </w:r>
    </w:p>
    <w:p w14:paraId="1F6BDE1E" w14:textId="446F99E4" w:rsidR="00D1773C" w:rsidRDefault="00D1773C" w:rsidP="00C82729">
      <w:pPr>
        <w:pStyle w:val="Normal2"/>
        <w:numPr>
          <w:ilvl w:val="0"/>
          <w:numId w:val="52"/>
        </w:numPr>
        <w:spacing w:after="360"/>
        <w:ind w:left="567" w:hanging="567"/>
      </w:pPr>
      <w:r>
        <w:t>Mr Bhose</w:t>
      </w:r>
      <w:r w:rsidR="0022532B">
        <w:t xml:space="preserve"> argues that</w:t>
      </w:r>
      <w:r>
        <w:t xml:space="preserve"> section 91(1) means that a licence must relate to premises that constitute a single Part 3 house. It cannot relate to premises that cannot be a single Part 3 house, such as two separate buildings, or two flats in a building that are several floors apart and so cannot be said to be “part” or “a part” of a building. </w:t>
      </w:r>
    </w:p>
    <w:p w14:paraId="404036AE" w14:textId="38806883" w:rsidR="00277849" w:rsidRDefault="00D1773C" w:rsidP="00277849">
      <w:pPr>
        <w:pStyle w:val="Normal2"/>
        <w:numPr>
          <w:ilvl w:val="0"/>
          <w:numId w:val="52"/>
        </w:numPr>
        <w:spacing w:after="360"/>
        <w:ind w:left="567" w:hanging="567"/>
      </w:pPr>
      <w:r>
        <w:lastRenderedPageBreak/>
        <w:t>I accept that constr</w:t>
      </w:r>
      <w:r w:rsidR="00277849">
        <w:t>u</w:t>
      </w:r>
      <w:r>
        <w:t xml:space="preserve">ction. I do not decide, because it is not relevant to this appeal, </w:t>
      </w:r>
      <w:r w:rsidR="00277849">
        <w:t>whether or not</w:t>
      </w:r>
      <w:r>
        <w:t xml:space="preserve"> two flats that are se</w:t>
      </w:r>
      <w:r w:rsidR="00277849">
        <w:t xml:space="preserve">veral floors apart can constitute “part” of a building. But the meaning of section 91(1) can only be that the premises to which a licence relates must be a single Part 3 house – whether a flat, or a number of flats comprising part of a building, or the whole building. Any other construction leads </w:t>
      </w:r>
      <w:r w:rsidR="00134977">
        <w:t>to</w:t>
      </w:r>
      <w:r w:rsidR="00277849">
        <w:t xml:space="preserve"> a loss of </w:t>
      </w:r>
      <w:r w:rsidR="00134977">
        <w:t xml:space="preserve">the </w:t>
      </w:r>
      <w:r w:rsidR="00277849">
        <w:t>flexibility</w:t>
      </w:r>
      <w:r w:rsidR="00134977">
        <w:t xml:space="preserve"> that is crucial to the scheme, and flies in the face of the clear drafting of the statute by importing a complicated requirement to identify the smallest or largest possible unit that could be a Part 3 house in any given case. </w:t>
      </w:r>
    </w:p>
    <w:p w14:paraId="3FEAE24E" w14:textId="0AAD7D9E" w:rsidR="00713D21" w:rsidRDefault="00134977" w:rsidP="00C82729">
      <w:pPr>
        <w:pStyle w:val="Normal2"/>
        <w:numPr>
          <w:ilvl w:val="0"/>
          <w:numId w:val="52"/>
        </w:numPr>
        <w:spacing w:after="360"/>
        <w:ind w:left="567" w:hanging="567"/>
      </w:pPr>
      <w:r>
        <w:t xml:space="preserve">Once the meaning of section 91(1) is resolved in that way, it is clear </w:t>
      </w:r>
      <w:r w:rsidR="00277849">
        <w:t>that the FTT’s decision did not lead to unacceptable consequences, and nothing stands in the way of its conclusion – that each of the five financial penalties related to a Part 3 house because each flat was a Part 3 house that required to be licensed. Each was in a designated area,  part of a building consisting of one dwelling, (meaning part of a building occupied as a separate dwelling) (section 99), and the whole of each flat was occupied under a single non-exempt tenancy (section 79(2)(a)</w:t>
      </w:r>
      <w:r>
        <w:t>)</w:t>
      </w:r>
      <w:r w:rsidR="00277849">
        <w:t xml:space="preserve">, and section 85 required it to be licensed. </w:t>
      </w:r>
    </w:p>
    <w:p w14:paraId="395221A2" w14:textId="5D0755E0" w:rsidR="00713D21" w:rsidRDefault="00134977" w:rsidP="00C82729">
      <w:pPr>
        <w:pStyle w:val="Normal2"/>
        <w:numPr>
          <w:ilvl w:val="0"/>
          <w:numId w:val="52"/>
        </w:numPr>
        <w:spacing w:after="360"/>
        <w:ind w:left="567" w:hanging="567"/>
      </w:pPr>
      <w:r>
        <w:t>It is true that t</w:t>
      </w:r>
      <w:r w:rsidR="00277849">
        <w:t xml:space="preserve">he appellant could, had the respondent so chosen and had it had the requisite information, </w:t>
      </w:r>
      <w:r w:rsidR="0022532B">
        <w:t xml:space="preserve">have </w:t>
      </w:r>
      <w:r w:rsidR="00277849">
        <w:t xml:space="preserve">been penalised for an offence in respect of the whole house or of any group of flats comprising part of it. </w:t>
      </w:r>
      <w:r w:rsidR="005F5D82">
        <w:t>It</w:t>
      </w:r>
      <w:r w:rsidR="00277849">
        <w:t xml:space="preserve"> cannot know in advance how many offences he is committing. Nor can many who embark upon criminal conduct, since the outcome in terms of charges on an indictment will depend upon circumstances outside their control relating to the behaviour of others, the availability of evidence and so on. I do not think that the principle against doubtful criminalisation is engaged, because there is no doubt that the appellant is committing a criminal offence; the principle does not require that a statute be construed so that a person commits as few offences as possible.</w:t>
      </w:r>
    </w:p>
    <w:p w14:paraId="07164C2F" w14:textId="0490B847" w:rsidR="0034146E" w:rsidRDefault="00277849" w:rsidP="00C82729">
      <w:pPr>
        <w:pStyle w:val="Normal2"/>
        <w:numPr>
          <w:ilvl w:val="0"/>
          <w:numId w:val="52"/>
        </w:numPr>
        <w:spacing w:after="360"/>
        <w:ind w:left="567" w:hanging="567"/>
      </w:pPr>
      <w:r>
        <w:t>I could stop there</w:t>
      </w:r>
      <w:r w:rsidR="0034146E">
        <w:t xml:space="preserve">. Mr Morris’ construction of Part 3 fails because section 91(1) does not </w:t>
      </w:r>
      <w:r w:rsidR="007F73D2">
        <w:t>give rise</w:t>
      </w:r>
      <w:r w:rsidR="0034146E">
        <w:t xml:space="preserve"> to any difficulty with the FTT’s conclusion – despite what the FTT itself thought</w:t>
      </w:r>
      <w:r w:rsidR="00134977">
        <w:t>, and because</w:t>
      </w:r>
      <w:r w:rsidR="0034146E">
        <w:t xml:space="preserve"> the principle against doubtful criminalisation does not invalidate the flexible scheme that arises from a plain reading of Part 3. The appeal fails.</w:t>
      </w:r>
    </w:p>
    <w:p w14:paraId="72D57929" w14:textId="58372373" w:rsidR="0034146E" w:rsidRDefault="0034146E" w:rsidP="00C82729">
      <w:pPr>
        <w:pStyle w:val="Normal2"/>
        <w:numPr>
          <w:ilvl w:val="0"/>
          <w:numId w:val="52"/>
        </w:numPr>
        <w:spacing w:after="360"/>
        <w:ind w:left="567" w:hanging="567"/>
      </w:pPr>
      <w:r>
        <w:t>But it is worth noting the great difficulties that would arise from Mr Morris’ argument.</w:t>
      </w:r>
    </w:p>
    <w:p w14:paraId="6EF85207" w14:textId="71D1DAA3" w:rsidR="0052714F" w:rsidRDefault="0034146E" w:rsidP="00465C0D">
      <w:pPr>
        <w:pStyle w:val="Normal2"/>
        <w:numPr>
          <w:ilvl w:val="0"/>
          <w:numId w:val="52"/>
        </w:numPr>
        <w:spacing w:after="360"/>
        <w:ind w:left="567" w:hanging="567"/>
      </w:pPr>
      <w:r>
        <w:t xml:space="preserve">First, the argument that premises must be licensed when they are intended to be occupied </w:t>
      </w:r>
      <w:r w:rsidR="00134977">
        <w:t xml:space="preserve">is an </w:t>
      </w:r>
      <w:r w:rsidR="009D2366">
        <w:t xml:space="preserve">impossible reading of </w:t>
      </w:r>
      <w:r w:rsidR="00134977">
        <w:t xml:space="preserve">the plain words of </w:t>
      </w:r>
      <w:r w:rsidR="009D2366">
        <w:t>section 79</w:t>
      </w:r>
      <w:r>
        <w:t xml:space="preserve">. </w:t>
      </w:r>
      <w:r w:rsidR="007F73D2">
        <w:t>There</w:t>
      </w:r>
      <w:r w:rsidR="009D2366">
        <w:t xml:space="preserve"> is no contradiction between section 99, which defines houses, and section 79 which tells us to which houses Part 3 applies.</w:t>
      </w:r>
      <w:r w:rsidR="005C392A">
        <w:t xml:space="preserve"> And the argument</w:t>
      </w:r>
      <w:r>
        <w:t xml:space="preserve"> makes no </w:t>
      </w:r>
      <w:r w:rsidR="009D2366">
        <w:t xml:space="preserve">practical </w:t>
      </w:r>
      <w:r>
        <w:t xml:space="preserve">sense because, as Mr Bhose points out, there is no reason why Parliament would have required empty premises to be licensed. </w:t>
      </w:r>
      <w:r w:rsidR="007F73D2">
        <w:t xml:space="preserve">The licence is for the protection of the occupier, and if there is none then there is no reason why the applicant should be put to the trouble and expense of applying, nor why the local housing authority should undertake the work of granting a licence. </w:t>
      </w:r>
      <w:r w:rsidR="005C392A">
        <w:t>Moreover, t</w:t>
      </w:r>
      <w:r>
        <w:t xml:space="preserve">he appellant’s argument appears to require </w:t>
      </w:r>
      <w:r w:rsidR="005C392A">
        <w:t>a single house</w:t>
      </w:r>
      <w:r>
        <w:t xml:space="preserve"> to be licensed once it is intended to be let, just as much as it would require the single empty flat in a block to be let, or the 19 empty flats when just one has been renovated. </w:t>
      </w:r>
      <w:r w:rsidR="007F73D2">
        <w:t>Far from explaining section 95(1) (see paragraph</w:t>
      </w:r>
      <w:r w:rsidR="005C392A">
        <w:t xml:space="preserve"> 38</w:t>
      </w:r>
      <w:r w:rsidR="007F73D2">
        <w:t xml:space="preserve"> above), the appellant’s construction would</w:t>
      </w:r>
      <w:r>
        <w:t xml:space="preserve"> mean that the section 95(1) offence is committed when there is an intention to let, which is </w:t>
      </w:r>
      <w:r w:rsidR="007F73D2">
        <w:t>impracticable and pointless</w:t>
      </w:r>
      <w:r>
        <w:t xml:space="preserve">. </w:t>
      </w:r>
    </w:p>
    <w:p w14:paraId="047066B7" w14:textId="7D7659D9" w:rsidR="00C82729" w:rsidRDefault="0052714F" w:rsidP="00465C0D">
      <w:pPr>
        <w:pStyle w:val="Normal2"/>
        <w:numPr>
          <w:ilvl w:val="0"/>
          <w:numId w:val="52"/>
        </w:numPr>
        <w:spacing w:after="360"/>
        <w:ind w:left="567" w:hanging="567"/>
      </w:pPr>
      <w:r>
        <w:lastRenderedPageBreak/>
        <w:t xml:space="preserve">The statute requires a licence where premises are occupied as set out in section 79(2), but it caters for changing circumstances. </w:t>
      </w:r>
      <w:r w:rsidR="0034146E">
        <w:t xml:space="preserve">Section 91(2) enables a licence to be obtained before premises are occupied and required to be licensed, </w:t>
      </w:r>
      <w:r>
        <w:t>so as to avoid commission of the offence once the premises are occupied. S</w:t>
      </w:r>
      <w:r w:rsidR="0034146E">
        <w:t>ection 91(5) ensures that a licence remains valid even if one flat in a licensed block becomes vacant</w:t>
      </w:r>
      <w:r w:rsidR="007F73D2">
        <w:t xml:space="preserve"> (which resolves the point summarised at paragraph </w:t>
      </w:r>
      <w:r w:rsidR="005C392A">
        <w:t>39</w:t>
      </w:r>
      <w:r w:rsidR="007F73D2">
        <w:t xml:space="preserve"> above)</w:t>
      </w:r>
      <w:r w:rsidR="0034146E">
        <w:t>.</w:t>
      </w:r>
      <w:r>
        <w:t xml:space="preserve"> A landlord who renovates one flat at a time and lets them one by one may get a licence for each as they are occupied, or may apply for a licence for the whole building once all the flats are let; there is no need for the landlord to apply to have the licence for one flat extended as the Part 3 house grows (and I make no decision as to whether section 92 could be used to exten</w:t>
      </w:r>
      <w:r w:rsidR="005F5D82">
        <w:t>d</w:t>
      </w:r>
      <w:r>
        <w:t xml:space="preserve"> the premises covered by the licence).</w:t>
      </w:r>
    </w:p>
    <w:p w14:paraId="000098FC" w14:textId="2EEB58FF" w:rsidR="006E6AFA" w:rsidRDefault="006E6AFA" w:rsidP="00465C0D">
      <w:pPr>
        <w:pStyle w:val="Normal2"/>
        <w:numPr>
          <w:ilvl w:val="0"/>
          <w:numId w:val="52"/>
        </w:numPr>
        <w:spacing w:after="360"/>
        <w:ind w:left="567" w:hanging="567"/>
      </w:pPr>
      <w:r>
        <w:t xml:space="preserve">So a licence is required when, as section 79(2)(b) says, the whole of the house </w:t>
      </w:r>
      <w:r w:rsidR="0052714F">
        <w:t xml:space="preserve">(be it a building, part of a building, or a flat) </w:t>
      </w:r>
      <w:r>
        <w:t xml:space="preserve">is occupied as there specified. That means that the Part 3 house if defined as Mr Morris argues will fluctuate over time. That is not </w:t>
      </w:r>
      <w:r w:rsidR="007F73D2">
        <w:t xml:space="preserve">entirely </w:t>
      </w:r>
      <w:r>
        <w:t>fatal to his argument</w:t>
      </w:r>
      <w:r w:rsidR="007F73D2">
        <w:t xml:space="preserve"> (because of his suggestion that </w:t>
      </w:r>
      <w:r w:rsidR="00087A2C">
        <w:t>the local housing authority does not need to know the extent of the Part 3 house when it prosecutes or imposes a financial penalty)</w:t>
      </w:r>
      <w:r w:rsidR="007F73D2">
        <w:t xml:space="preserve">. </w:t>
      </w:r>
      <w:r w:rsidR="0052714F">
        <w:t>But o</w:t>
      </w:r>
      <w:r w:rsidR="007F73D2">
        <w:t>ther</w:t>
      </w:r>
      <w:r>
        <w:t xml:space="preserve"> considerations are.</w:t>
      </w:r>
    </w:p>
    <w:p w14:paraId="28D3EF83" w14:textId="275A2639" w:rsidR="006E6AFA" w:rsidRDefault="006E6AFA" w:rsidP="00166AB4">
      <w:pPr>
        <w:pStyle w:val="Normal2"/>
        <w:numPr>
          <w:ilvl w:val="0"/>
          <w:numId w:val="52"/>
        </w:numPr>
        <w:spacing w:after="360"/>
        <w:ind w:left="567" w:hanging="567"/>
      </w:pPr>
      <w:r>
        <w:t>One is that if a landlord has a licence for one flat in a building comprising two flats, where he lets that flat on a shorthold tenancy and the other on an exempt tenancy, if the second flat unexpectedly ceases to be exempt then the licence for the first flat becomes invalid</w:t>
      </w:r>
      <w:r w:rsidR="007F73D2">
        <w:t xml:space="preserve"> because it does not relate to a Part 3 house</w:t>
      </w:r>
      <w:r>
        <w:t xml:space="preserve">. If a landlord licences five flats in a building, not realising that </w:t>
      </w:r>
      <w:r w:rsidR="007F73D2">
        <w:t>he n</w:t>
      </w:r>
      <w:r>
        <w:t>eed</w:t>
      </w:r>
      <w:r w:rsidR="007F73D2">
        <w:t>s</w:t>
      </w:r>
      <w:r>
        <w:t xml:space="preserve"> a licence for one or more other flats there, the licence he obtains is invalid, because there is only one Part 3 house</w:t>
      </w:r>
      <w:r w:rsidR="005C392A">
        <w:t xml:space="preserve"> and it is not licensed</w:t>
      </w:r>
      <w:r>
        <w:t>.</w:t>
      </w:r>
      <w:r w:rsidR="001E5C44">
        <w:t xml:space="preserve"> </w:t>
      </w:r>
      <w:r w:rsidR="0052714F">
        <w:t xml:space="preserve">Therefore </w:t>
      </w:r>
      <w:r w:rsidR="001E5C44">
        <w:t>Mr Morris’ construction requires the local housing authority to make enquiries of the landlord and perhaps of others in relation to the whole building in order to find out whether it can grant a valid licence in response to the application. The statute does not require such an enquiry</w:t>
      </w:r>
      <w:r w:rsidR="005C392A">
        <w:t>, and it would be impracticable for the local housing authority to achieve it</w:t>
      </w:r>
      <w:r w:rsidR="001E5C44">
        <w:t>; it requires the local housing authority only to consider the application before it and to determine, using the statutory definition, whether the premises to which the application relate is a single Part 3 house</w:t>
      </w:r>
      <w:r w:rsidR="007F73D2">
        <w:t>, and then to follow the process set out in section 88 and following</w:t>
      </w:r>
      <w:r w:rsidR="001E5C44">
        <w:t xml:space="preserve">. If </w:t>
      </w:r>
      <w:r w:rsidR="007F73D2">
        <w:t>the premises is a Part 3 house</w:t>
      </w:r>
      <w:r w:rsidR="001E5C44">
        <w:t>, the licence can be granted and no detective work is required. The reality is as Mr Bhose QC describes: the Act anticipates that different people will make different applications for licences at different times f</w:t>
      </w:r>
      <w:r w:rsidR="007F73D2">
        <w:t>o</w:t>
      </w:r>
      <w:r w:rsidR="001E5C44">
        <w:t xml:space="preserve">r buildings, parts of buildings and individual flats. The role of the authority is not to carry out an audit of the building but to look at the application before it. </w:t>
      </w:r>
      <w:r w:rsidR="0052714F">
        <w:t>I</w:t>
      </w:r>
      <w:r w:rsidR="001E5C44">
        <w:t xml:space="preserve">ts licensing powers </w:t>
      </w:r>
      <w:r w:rsidR="0052714F">
        <w:t>are</w:t>
      </w:r>
      <w:r w:rsidR="001E5C44">
        <w:t xml:space="preserve"> flexible, to cater for the wide variety of factual circumstances that it will encounter.</w:t>
      </w:r>
    </w:p>
    <w:p w14:paraId="524A44C4" w14:textId="38A4C36F" w:rsidR="001E5C44" w:rsidRDefault="001E5C44" w:rsidP="00166AB4">
      <w:pPr>
        <w:pStyle w:val="Normal2"/>
        <w:numPr>
          <w:ilvl w:val="0"/>
          <w:numId w:val="52"/>
        </w:numPr>
        <w:spacing w:after="360"/>
        <w:ind w:left="567" w:hanging="567"/>
      </w:pPr>
      <w:r>
        <w:t xml:space="preserve">I have already </w:t>
      </w:r>
      <w:r w:rsidR="007F73D2">
        <w:t>mentioned</w:t>
      </w:r>
      <w:r>
        <w:t xml:space="preserve"> that the appellant</w:t>
      </w:r>
      <w:r w:rsidR="007F73D2">
        <w:t>’</w:t>
      </w:r>
      <w:r>
        <w:t>s construction of the Act leaves landlords with no choice about what to licence. If a landlord want</w:t>
      </w:r>
      <w:r w:rsidR="005C392A">
        <w:t>ed</w:t>
      </w:r>
      <w:r>
        <w:t xml:space="preserve"> to appoint two different managers for different floors it w</w:t>
      </w:r>
      <w:r w:rsidR="005C392A">
        <w:t>ould</w:t>
      </w:r>
      <w:r>
        <w:t xml:space="preserve"> have to sub-let to a manager who w</w:t>
      </w:r>
      <w:r w:rsidR="005C392A">
        <w:t>ould</w:t>
      </w:r>
      <w:r>
        <w:t xml:space="preserve"> then apply itself for a licence for part of the building, to which there are obvious objections because the manager is unlikely to want a landlord’s responsibilities, or the landlord </w:t>
      </w:r>
      <w:r w:rsidR="005C392A">
        <w:t>would</w:t>
      </w:r>
      <w:r>
        <w:t xml:space="preserve"> have to make the arrangements it wants by delegation, which m</w:t>
      </w:r>
      <w:r w:rsidR="005C392A">
        <w:t>ight</w:t>
      </w:r>
      <w:r>
        <w:t xml:space="preserve"> be inconvenient.</w:t>
      </w:r>
      <w:r w:rsidR="00F27A53">
        <w:t xml:space="preserve"> </w:t>
      </w:r>
      <w:r>
        <w:t xml:space="preserve"> </w:t>
      </w:r>
      <w:r w:rsidR="00F27A53">
        <w:t xml:space="preserve">There would also be no choice for local housing authorities, and the sensible arrangement made in </w:t>
      </w:r>
      <w:r w:rsidR="00F27A53">
        <w:rPr>
          <w:i/>
          <w:iCs/>
        </w:rPr>
        <w:t>London Borough of Waltham Forest v Khan</w:t>
      </w:r>
      <w:r w:rsidR="00F27A53">
        <w:t xml:space="preserve"> would be impossible.</w:t>
      </w:r>
    </w:p>
    <w:p w14:paraId="7560AD3E" w14:textId="747DBF40" w:rsidR="00F34BF5" w:rsidRDefault="006E6AFA" w:rsidP="00465C0D">
      <w:pPr>
        <w:pStyle w:val="Normal2"/>
        <w:numPr>
          <w:ilvl w:val="0"/>
          <w:numId w:val="52"/>
        </w:numPr>
        <w:spacing w:after="360"/>
        <w:ind w:left="567" w:hanging="567"/>
      </w:pPr>
      <w:r>
        <w:lastRenderedPageBreak/>
        <w:t xml:space="preserve">Another </w:t>
      </w:r>
      <w:r w:rsidR="001E5C44">
        <w:t xml:space="preserve">difficulty </w:t>
      </w:r>
      <w:r>
        <w:t xml:space="preserve">is that if there is only ever one Part 3 house for an individual, it will be necessary for local authorities to take decisions about prosecution and about financial penalties when they do not </w:t>
      </w:r>
      <w:r w:rsidR="009D2366">
        <w:t>k</w:t>
      </w:r>
      <w:r>
        <w:t>now the extent of the Part 3 house</w:t>
      </w:r>
      <w:r w:rsidR="005C392A">
        <w:t xml:space="preserve"> (see paragraph 40 above). One obvious disadvantage of that is that the extent of the harm caused by the offence would be unknown.</w:t>
      </w:r>
      <w:r>
        <w:t xml:space="preserve"> Mr Morris argued that this was immaterial because </w:t>
      </w:r>
      <w:r w:rsidR="00F34BF5">
        <w:t xml:space="preserve">the number of people at risk </w:t>
      </w:r>
      <w:r w:rsidR="009D2366">
        <w:t xml:space="preserve">would not make a great deal of </w:t>
      </w:r>
      <w:r>
        <w:t>difference t</w:t>
      </w:r>
      <w:r w:rsidR="009D2366">
        <w:t>o the penalty; but I am not convinced that that is a</w:t>
      </w:r>
      <w:r w:rsidR="005C392A">
        <w:t xml:space="preserve"> satisfactory</w:t>
      </w:r>
      <w:r w:rsidR="009D2366">
        <w:t xml:space="preserve"> answer to the problem. </w:t>
      </w:r>
    </w:p>
    <w:p w14:paraId="6A54032A" w14:textId="2C3EF3ED" w:rsidR="006E6AFA" w:rsidRDefault="009D2366" w:rsidP="00465C0D">
      <w:pPr>
        <w:pStyle w:val="Normal2"/>
        <w:numPr>
          <w:ilvl w:val="0"/>
          <w:numId w:val="52"/>
        </w:numPr>
        <w:spacing w:after="360"/>
        <w:ind w:left="567" w:hanging="567"/>
      </w:pPr>
      <w:r>
        <w:t xml:space="preserve">More generally I do not think that </w:t>
      </w:r>
      <w:r w:rsidR="00F34BF5">
        <w:t xml:space="preserve">the statute enables or requires a local housing authority </w:t>
      </w:r>
      <w:r>
        <w:t xml:space="preserve">to </w:t>
      </w:r>
      <w:r w:rsidR="00087A2C">
        <w:t>prosecute</w:t>
      </w:r>
      <w:r>
        <w:t xml:space="preserve"> a landlord, or to impose a civil penalty, in relation to a Part 3 house the extent of which is not known to the local housing authority or to the court or to the FTT as the case may be.</w:t>
      </w:r>
      <w:r w:rsidR="00AF7527">
        <w:t xml:space="preserve"> All those persons need to be able to consider and respond to the Part 3 house to which the evidence relates</w:t>
      </w:r>
      <w:r w:rsidR="005C392A">
        <w:t xml:space="preserve"> (without considering whether any different house could have been or would have been the subject of a licence if one had been applied for)</w:t>
      </w:r>
      <w:r w:rsidR="00AF7527">
        <w:t>; it makes no sense for their decisions to have an unknown impact upon unknown components of a Part 3 house of whose extent they are unaware.</w:t>
      </w:r>
      <w:r w:rsidR="00F34BF5">
        <w:t xml:space="preserve"> </w:t>
      </w:r>
    </w:p>
    <w:p w14:paraId="40645468" w14:textId="126B56ED" w:rsidR="001E5C44" w:rsidRDefault="001E5C44" w:rsidP="00465C0D">
      <w:pPr>
        <w:pStyle w:val="Normal2"/>
        <w:numPr>
          <w:ilvl w:val="0"/>
          <w:numId w:val="52"/>
        </w:numPr>
        <w:spacing w:after="360"/>
        <w:ind w:left="567" w:hanging="567"/>
      </w:pPr>
      <w:r>
        <w:t>Inevitably therefore the local housing authority has a discretion in deciding what offences to prosecute. If it makes an irrational decision it can be challenged</w:t>
      </w:r>
      <w:r w:rsidR="005C392A">
        <w:t>. Bu</w:t>
      </w:r>
      <w:r>
        <w:t>t it has to have discretion and flexibility because it must respond to individual circumstances and because it must be able to act on the information available to it</w:t>
      </w:r>
      <w:r w:rsidR="00AF7527">
        <w:t>, as it does when granting a licence</w:t>
      </w:r>
      <w:r w:rsidR="0052714F">
        <w:t xml:space="preserve"> and as it did when imposing financial penalties in this case</w:t>
      </w:r>
      <w:r w:rsidR="00AF7527">
        <w:t>. The flexibility inherent in the scheme is crucial to it.</w:t>
      </w:r>
    </w:p>
    <w:p w14:paraId="0CD80C23" w14:textId="101FD0D9" w:rsidR="00087A2C" w:rsidRPr="00087A2C" w:rsidRDefault="00087A2C" w:rsidP="00087A2C">
      <w:pPr>
        <w:pStyle w:val="Normal2"/>
        <w:spacing w:after="360"/>
        <w:rPr>
          <w:b/>
          <w:bCs/>
        </w:rPr>
      </w:pPr>
      <w:r>
        <w:rPr>
          <w:b/>
          <w:bCs/>
        </w:rPr>
        <w:t>Conclusion</w:t>
      </w:r>
    </w:p>
    <w:p w14:paraId="1335FE99" w14:textId="25487E6C" w:rsidR="00087A2C" w:rsidRDefault="00087A2C" w:rsidP="00465C0D">
      <w:pPr>
        <w:pStyle w:val="Normal2"/>
        <w:numPr>
          <w:ilvl w:val="0"/>
          <w:numId w:val="52"/>
        </w:numPr>
        <w:spacing w:after="360"/>
        <w:ind w:left="567" w:hanging="567"/>
      </w:pPr>
      <w:r>
        <w:t>The appeal fails and the FTT’s decision to impose five financial penalties stands.</w:t>
      </w:r>
    </w:p>
    <w:p w14:paraId="117DDAE8" w14:textId="2443B5BF" w:rsidR="00C82729" w:rsidRDefault="00C82729" w:rsidP="00C82729">
      <w:pPr>
        <w:pStyle w:val="Normal2"/>
        <w:ind w:left="567"/>
      </w:pPr>
    </w:p>
    <w:p w14:paraId="54A03475" w14:textId="21093EB4" w:rsidR="00C82729" w:rsidRDefault="00C82729" w:rsidP="00C82729">
      <w:pPr>
        <w:pStyle w:val="Normal2"/>
        <w:ind w:left="567"/>
      </w:pPr>
    </w:p>
    <w:p w14:paraId="7AB73CD4" w14:textId="77777777" w:rsidR="00C82729" w:rsidRPr="00A457DC" w:rsidRDefault="00C82729" w:rsidP="00C82729">
      <w:pPr>
        <w:pStyle w:val="Normal2"/>
        <w:ind w:left="567"/>
      </w:pPr>
    </w:p>
    <w:p w14:paraId="0B5AFD5D" w14:textId="10C298A4" w:rsidR="00656DDF" w:rsidRDefault="00FA4476" w:rsidP="00FA4476">
      <w:pPr>
        <w:pStyle w:val="Normal2"/>
        <w:rPr>
          <w:szCs w:val="24"/>
        </w:rPr>
      </w:pPr>
      <w:r>
        <w:rPr>
          <w:szCs w:val="24"/>
        </w:rPr>
        <w:t xml:space="preserve">Judge  </w:t>
      </w:r>
      <w:r w:rsidR="00F34BF5">
        <w:rPr>
          <w:szCs w:val="24"/>
        </w:rPr>
        <w:t xml:space="preserve"> Elizabeth Cooke</w:t>
      </w:r>
    </w:p>
    <w:p w14:paraId="733F7EF8" w14:textId="01C278AE" w:rsidR="00656DDF" w:rsidRDefault="00656DDF" w:rsidP="00656DDF">
      <w:pPr>
        <w:pStyle w:val="Normal2"/>
        <w:ind w:left="567"/>
        <w:rPr>
          <w:szCs w:val="24"/>
        </w:rPr>
      </w:pPr>
    </w:p>
    <w:p w14:paraId="1C9C5C97" w14:textId="294C599B" w:rsidR="00656DDF" w:rsidRDefault="00656DDF" w:rsidP="00656DDF">
      <w:pPr>
        <w:pStyle w:val="Normal2"/>
        <w:ind w:left="567"/>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8A4439">
        <w:rPr>
          <w:szCs w:val="24"/>
        </w:rPr>
        <w:t xml:space="preserve">14 July </w:t>
      </w:r>
      <w:r>
        <w:rPr>
          <w:szCs w:val="24"/>
        </w:rPr>
        <w:t>2022</w:t>
      </w:r>
    </w:p>
    <w:p w14:paraId="7B944CE8" w14:textId="77777777" w:rsidR="00656DDF" w:rsidRDefault="00656DDF" w:rsidP="00CB2B8C">
      <w:pPr>
        <w:pStyle w:val="Normal2"/>
        <w:ind w:left="567"/>
        <w:rPr>
          <w:szCs w:val="24"/>
        </w:rPr>
      </w:pPr>
    </w:p>
    <w:p w14:paraId="7B04A68F" w14:textId="77777777" w:rsidR="008B479F" w:rsidRPr="004707AD" w:rsidRDefault="008B479F" w:rsidP="008B479F">
      <w:pPr>
        <w:rPr>
          <w:b/>
          <w:bCs/>
          <w:spacing w:val="0"/>
          <w:szCs w:val="24"/>
        </w:rPr>
      </w:pPr>
      <w:r w:rsidRPr="004707AD">
        <w:rPr>
          <w:b/>
          <w:bCs/>
          <w:szCs w:val="24"/>
        </w:rPr>
        <w:t xml:space="preserve">Right of appeal  </w:t>
      </w:r>
    </w:p>
    <w:p w14:paraId="7C76B9C0" w14:textId="32BD0FCF" w:rsidR="008B479F" w:rsidRPr="004707AD" w:rsidRDefault="008B479F" w:rsidP="008B479F">
      <w:pPr>
        <w:jc w:val="both"/>
        <w:rPr>
          <w:szCs w:val="24"/>
        </w:rPr>
      </w:pPr>
      <w:r w:rsidRPr="004707AD">
        <w:rPr>
          <w:szCs w:val="24"/>
        </w:rPr>
        <w:t xml:space="preserve">Any party has a right of appeal to the Court of Appeal on any point of law arising from this decision.  The right of appeal may be exercised only with permission. An application for permission to appeal to the Court of Appeal must be sent or delivered to the Tribunal so that it is received within 1 month after the date on which this decision is sent to the parties (unless an application for costs is made within 14 days of the decision being sent to the parties, in which case an application for permission to appeal must be made within 1 month of the date on which the Tribunal’s decision on costs is sent to the parties).  An application for permission to appeal must identify the decision of the Tribunal to which it relates, identify the alleged error or errors of law </w:t>
      </w:r>
      <w:r w:rsidRPr="004707AD">
        <w:rPr>
          <w:szCs w:val="24"/>
        </w:rPr>
        <w:lastRenderedPageBreak/>
        <w:t>in the decision, and state the result the party making the application is seeking.  If the Tribunal refuses permission to appeal a further application may then be made to the Court of Appeal for permission.</w:t>
      </w:r>
    </w:p>
    <w:p w14:paraId="27913588" w14:textId="77777777" w:rsidR="008B220A" w:rsidRPr="00D90984" w:rsidRDefault="008B220A" w:rsidP="00081F15">
      <w:pPr>
        <w:pStyle w:val="Normal2"/>
        <w:spacing w:after="360"/>
        <w:rPr>
          <w:szCs w:val="24"/>
        </w:rPr>
      </w:pPr>
    </w:p>
    <w:sectPr w:rsidR="008B220A" w:rsidRPr="00D90984" w:rsidSect="00A244EB">
      <w:headerReference w:type="even" r:id="rId34"/>
      <w:headerReference w:type="default" r:id="rId35"/>
      <w:footerReference w:type="even" r:id="rId36"/>
      <w:footerReference w:type="default" r:id="rId37"/>
      <w:headerReference w:type="first" r:id="rId38"/>
      <w:footerReference w:type="first" r:id="rId39"/>
      <w:pgSz w:w="11909" w:h="16834" w:code="9"/>
      <w:pgMar w:top="1418" w:right="1276" w:bottom="1758" w:left="1560" w:header="1134"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62B18" w14:textId="77777777" w:rsidR="008630DD" w:rsidRDefault="008630DD" w:rsidP="00DC002B">
      <w:r>
        <w:separator/>
      </w:r>
    </w:p>
  </w:endnote>
  <w:endnote w:type="continuationSeparator" w:id="0">
    <w:p w14:paraId="68F441E8" w14:textId="77777777" w:rsidR="008630DD" w:rsidRDefault="008630DD" w:rsidP="00DC0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916ED" w14:textId="77777777" w:rsidR="001021E5" w:rsidRDefault="001021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3353710"/>
      <w:docPartObj>
        <w:docPartGallery w:val="Page Numbers (Bottom of Page)"/>
        <w:docPartUnique/>
      </w:docPartObj>
    </w:sdtPr>
    <w:sdtEndPr>
      <w:rPr>
        <w:noProof/>
      </w:rPr>
    </w:sdtEndPr>
    <w:sdtContent>
      <w:p w14:paraId="2C5796EF" w14:textId="124B094F" w:rsidR="00EC30E5" w:rsidRDefault="00EC30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461183" w14:textId="77777777" w:rsidR="00EC30E5" w:rsidRDefault="00EC30E5">
    <w:pPr>
      <w:pStyle w:val="Footer"/>
      <w:jc w:val="cen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4492F" w14:textId="77777777" w:rsidR="00EC30E5" w:rsidRDefault="00EC30E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D311F" w14:textId="77777777" w:rsidR="00EC30E5" w:rsidRDefault="00EC30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E52401C" w14:textId="77777777" w:rsidR="00EC30E5" w:rsidRDefault="00EC30E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550EF" w14:textId="77777777" w:rsidR="00EC30E5" w:rsidRDefault="00EC30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7AFEA767" w14:textId="77777777" w:rsidR="00EC30E5" w:rsidRDefault="00EC30E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2C1A3" w14:textId="6B9B39B2" w:rsidR="00EC30E5" w:rsidRDefault="00EC30E5">
    <w:pPr>
      <w:pStyle w:val="Footer"/>
      <w:jc w:val="center"/>
      <w:rPr>
        <w:b/>
      </w:rPr>
    </w:pPr>
    <w:r>
      <w:rPr>
        <w:b/>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1C658" w14:textId="77777777" w:rsidR="008630DD" w:rsidRDefault="008630DD" w:rsidP="00DC002B">
      <w:r>
        <w:separator/>
      </w:r>
    </w:p>
  </w:footnote>
  <w:footnote w:type="continuationSeparator" w:id="0">
    <w:p w14:paraId="0C2BDA69" w14:textId="77777777" w:rsidR="008630DD" w:rsidRDefault="008630DD" w:rsidP="00DC0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F1618" w14:textId="22265834" w:rsidR="001021E5" w:rsidRDefault="00102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A381A" w14:textId="34128414" w:rsidR="001021E5" w:rsidRDefault="001021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A5FAD" w14:textId="4C2E2AA2" w:rsidR="001021E5" w:rsidRDefault="001021E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82C23" w14:textId="542E94AB" w:rsidR="00EC30E5" w:rsidRDefault="00EC30E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3F277" w14:textId="1A0A508C" w:rsidR="00EC30E5" w:rsidRDefault="00EC30E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A5086" w14:textId="4561CE27" w:rsidR="00EC30E5" w:rsidRDefault="00EC30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60227B2C"/>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1" w15:restartNumberingAfterBreak="0">
    <w:nsid w:val="00BE2C0A"/>
    <w:multiLevelType w:val="hybridMultilevel"/>
    <w:tmpl w:val="5590D8F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D273E"/>
    <w:multiLevelType w:val="multilevel"/>
    <w:tmpl w:val="53F2D6F4"/>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upp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64C4896"/>
    <w:multiLevelType w:val="hybridMultilevel"/>
    <w:tmpl w:val="CBF63482"/>
    <w:lvl w:ilvl="0" w:tplc="C77C7D46">
      <w:start w:val="1"/>
      <w:numFmt w:val="lowerRoman"/>
      <w:lvlText w:val="(%1)"/>
      <w:lvlJc w:val="left"/>
      <w:pPr>
        <w:ind w:left="860" w:hanging="720"/>
      </w:pPr>
      <w:rPr>
        <w:rFonts w:ascii="Calibri" w:eastAsia="Calibri" w:hAnsi="Calibri" w:cs="Calibri" w:hint="default"/>
        <w:spacing w:val="-1"/>
        <w:w w:val="100"/>
        <w:sz w:val="22"/>
        <w:szCs w:val="22"/>
        <w:lang w:val="en-GB" w:eastAsia="en-GB" w:bidi="en-GB"/>
      </w:rPr>
    </w:lvl>
    <w:lvl w:ilvl="1" w:tplc="61CEA1D2">
      <w:numFmt w:val="bullet"/>
      <w:lvlText w:val="•"/>
      <w:lvlJc w:val="left"/>
      <w:pPr>
        <w:ind w:left="1736" w:hanging="720"/>
      </w:pPr>
      <w:rPr>
        <w:rFonts w:hint="default"/>
        <w:lang w:val="en-GB" w:eastAsia="en-GB" w:bidi="en-GB"/>
      </w:rPr>
    </w:lvl>
    <w:lvl w:ilvl="2" w:tplc="5E6E27A8">
      <w:numFmt w:val="bullet"/>
      <w:lvlText w:val="•"/>
      <w:lvlJc w:val="left"/>
      <w:pPr>
        <w:ind w:left="2612" w:hanging="720"/>
      </w:pPr>
      <w:rPr>
        <w:rFonts w:hint="default"/>
        <w:lang w:val="en-GB" w:eastAsia="en-GB" w:bidi="en-GB"/>
      </w:rPr>
    </w:lvl>
    <w:lvl w:ilvl="3" w:tplc="D2C8D8E6">
      <w:numFmt w:val="bullet"/>
      <w:lvlText w:val="•"/>
      <w:lvlJc w:val="left"/>
      <w:pPr>
        <w:ind w:left="3488" w:hanging="720"/>
      </w:pPr>
      <w:rPr>
        <w:rFonts w:hint="default"/>
        <w:lang w:val="en-GB" w:eastAsia="en-GB" w:bidi="en-GB"/>
      </w:rPr>
    </w:lvl>
    <w:lvl w:ilvl="4" w:tplc="691AA9D0">
      <w:numFmt w:val="bullet"/>
      <w:lvlText w:val="•"/>
      <w:lvlJc w:val="left"/>
      <w:pPr>
        <w:ind w:left="4364" w:hanging="720"/>
      </w:pPr>
      <w:rPr>
        <w:rFonts w:hint="default"/>
        <w:lang w:val="en-GB" w:eastAsia="en-GB" w:bidi="en-GB"/>
      </w:rPr>
    </w:lvl>
    <w:lvl w:ilvl="5" w:tplc="24D67D18">
      <w:numFmt w:val="bullet"/>
      <w:lvlText w:val="•"/>
      <w:lvlJc w:val="left"/>
      <w:pPr>
        <w:ind w:left="5240" w:hanging="720"/>
      </w:pPr>
      <w:rPr>
        <w:rFonts w:hint="default"/>
        <w:lang w:val="en-GB" w:eastAsia="en-GB" w:bidi="en-GB"/>
      </w:rPr>
    </w:lvl>
    <w:lvl w:ilvl="6" w:tplc="9ECA3E58">
      <w:numFmt w:val="bullet"/>
      <w:lvlText w:val="•"/>
      <w:lvlJc w:val="left"/>
      <w:pPr>
        <w:ind w:left="6116" w:hanging="720"/>
      </w:pPr>
      <w:rPr>
        <w:rFonts w:hint="default"/>
        <w:lang w:val="en-GB" w:eastAsia="en-GB" w:bidi="en-GB"/>
      </w:rPr>
    </w:lvl>
    <w:lvl w:ilvl="7" w:tplc="019AC96C">
      <w:numFmt w:val="bullet"/>
      <w:lvlText w:val="•"/>
      <w:lvlJc w:val="left"/>
      <w:pPr>
        <w:ind w:left="6992" w:hanging="720"/>
      </w:pPr>
      <w:rPr>
        <w:rFonts w:hint="default"/>
        <w:lang w:val="en-GB" w:eastAsia="en-GB" w:bidi="en-GB"/>
      </w:rPr>
    </w:lvl>
    <w:lvl w:ilvl="8" w:tplc="C05C364C">
      <w:numFmt w:val="bullet"/>
      <w:lvlText w:val="•"/>
      <w:lvlJc w:val="left"/>
      <w:pPr>
        <w:ind w:left="7868" w:hanging="720"/>
      </w:pPr>
      <w:rPr>
        <w:rFonts w:hint="default"/>
        <w:lang w:val="en-GB" w:eastAsia="en-GB" w:bidi="en-GB"/>
      </w:rPr>
    </w:lvl>
  </w:abstractNum>
  <w:abstractNum w:abstractNumId="4" w15:restartNumberingAfterBreak="0">
    <w:nsid w:val="0C0F4840"/>
    <w:multiLevelType w:val="hybridMultilevel"/>
    <w:tmpl w:val="DEA4FE3C"/>
    <w:lvl w:ilvl="0" w:tplc="E13EC9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F9F03ED"/>
    <w:multiLevelType w:val="hybridMultilevel"/>
    <w:tmpl w:val="395A8DC2"/>
    <w:lvl w:ilvl="0" w:tplc="ADCC1D4C">
      <w:start w:val="1"/>
      <w:numFmt w:val="decimal"/>
      <w:lvlText w:val="(%1)"/>
      <w:lvlJc w:val="left"/>
      <w:pPr>
        <w:ind w:left="113" w:hanging="360"/>
      </w:pPr>
      <w:rPr>
        <w:rFonts w:hint="default"/>
      </w:rPr>
    </w:lvl>
    <w:lvl w:ilvl="1" w:tplc="08090019" w:tentative="1">
      <w:start w:val="1"/>
      <w:numFmt w:val="lowerLetter"/>
      <w:lvlText w:val="%2."/>
      <w:lvlJc w:val="left"/>
      <w:pPr>
        <w:ind w:left="833" w:hanging="360"/>
      </w:pPr>
    </w:lvl>
    <w:lvl w:ilvl="2" w:tplc="0809001B" w:tentative="1">
      <w:start w:val="1"/>
      <w:numFmt w:val="lowerRoman"/>
      <w:lvlText w:val="%3."/>
      <w:lvlJc w:val="right"/>
      <w:pPr>
        <w:ind w:left="1553" w:hanging="180"/>
      </w:pPr>
    </w:lvl>
    <w:lvl w:ilvl="3" w:tplc="0809000F" w:tentative="1">
      <w:start w:val="1"/>
      <w:numFmt w:val="decimal"/>
      <w:lvlText w:val="%4."/>
      <w:lvlJc w:val="left"/>
      <w:pPr>
        <w:ind w:left="2273" w:hanging="360"/>
      </w:pPr>
    </w:lvl>
    <w:lvl w:ilvl="4" w:tplc="08090019" w:tentative="1">
      <w:start w:val="1"/>
      <w:numFmt w:val="lowerLetter"/>
      <w:lvlText w:val="%5."/>
      <w:lvlJc w:val="left"/>
      <w:pPr>
        <w:ind w:left="2993" w:hanging="360"/>
      </w:pPr>
    </w:lvl>
    <w:lvl w:ilvl="5" w:tplc="0809001B" w:tentative="1">
      <w:start w:val="1"/>
      <w:numFmt w:val="lowerRoman"/>
      <w:lvlText w:val="%6."/>
      <w:lvlJc w:val="right"/>
      <w:pPr>
        <w:ind w:left="3713" w:hanging="180"/>
      </w:pPr>
    </w:lvl>
    <w:lvl w:ilvl="6" w:tplc="0809000F" w:tentative="1">
      <w:start w:val="1"/>
      <w:numFmt w:val="decimal"/>
      <w:lvlText w:val="%7."/>
      <w:lvlJc w:val="left"/>
      <w:pPr>
        <w:ind w:left="4433" w:hanging="360"/>
      </w:pPr>
    </w:lvl>
    <w:lvl w:ilvl="7" w:tplc="08090019" w:tentative="1">
      <w:start w:val="1"/>
      <w:numFmt w:val="lowerLetter"/>
      <w:lvlText w:val="%8."/>
      <w:lvlJc w:val="left"/>
      <w:pPr>
        <w:ind w:left="5153" w:hanging="360"/>
      </w:pPr>
    </w:lvl>
    <w:lvl w:ilvl="8" w:tplc="0809001B" w:tentative="1">
      <w:start w:val="1"/>
      <w:numFmt w:val="lowerRoman"/>
      <w:lvlText w:val="%9."/>
      <w:lvlJc w:val="right"/>
      <w:pPr>
        <w:ind w:left="5873" w:hanging="180"/>
      </w:pPr>
    </w:lvl>
  </w:abstractNum>
  <w:abstractNum w:abstractNumId="6" w15:restartNumberingAfterBreak="0">
    <w:nsid w:val="0FAF4CF9"/>
    <w:multiLevelType w:val="hybridMultilevel"/>
    <w:tmpl w:val="84D0AEE2"/>
    <w:lvl w:ilvl="0" w:tplc="8A428D0A">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94398B"/>
    <w:multiLevelType w:val="hybridMultilevel"/>
    <w:tmpl w:val="979E07F8"/>
    <w:lvl w:ilvl="0" w:tplc="04090001">
      <w:start w:val="1"/>
      <w:numFmt w:val="bullet"/>
      <w:lvlText w:val=""/>
      <w:lvlJc w:val="left"/>
      <w:pPr>
        <w:ind w:left="1340" w:hanging="360"/>
      </w:pPr>
      <w:rPr>
        <w:rFonts w:ascii="Symbol" w:hAnsi="Symbol" w:hint="default"/>
      </w:rPr>
    </w:lvl>
    <w:lvl w:ilvl="1" w:tplc="04090003" w:tentative="1">
      <w:start w:val="1"/>
      <w:numFmt w:val="bullet"/>
      <w:lvlText w:val="o"/>
      <w:lvlJc w:val="left"/>
      <w:pPr>
        <w:ind w:left="2060" w:hanging="360"/>
      </w:pPr>
      <w:rPr>
        <w:rFonts w:ascii="Courier New" w:hAnsi="Courier New" w:cs="Courier New" w:hint="default"/>
      </w:rPr>
    </w:lvl>
    <w:lvl w:ilvl="2" w:tplc="04090005" w:tentative="1">
      <w:start w:val="1"/>
      <w:numFmt w:val="bullet"/>
      <w:lvlText w:val=""/>
      <w:lvlJc w:val="left"/>
      <w:pPr>
        <w:ind w:left="2780" w:hanging="360"/>
      </w:pPr>
      <w:rPr>
        <w:rFonts w:ascii="Wingdings" w:hAnsi="Wingdings" w:hint="default"/>
      </w:rPr>
    </w:lvl>
    <w:lvl w:ilvl="3" w:tplc="04090001" w:tentative="1">
      <w:start w:val="1"/>
      <w:numFmt w:val="bullet"/>
      <w:lvlText w:val=""/>
      <w:lvlJc w:val="left"/>
      <w:pPr>
        <w:ind w:left="3500" w:hanging="360"/>
      </w:pPr>
      <w:rPr>
        <w:rFonts w:ascii="Symbol" w:hAnsi="Symbol" w:hint="default"/>
      </w:rPr>
    </w:lvl>
    <w:lvl w:ilvl="4" w:tplc="04090003" w:tentative="1">
      <w:start w:val="1"/>
      <w:numFmt w:val="bullet"/>
      <w:lvlText w:val="o"/>
      <w:lvlJc w:val="left"/>
      <w:pPr>
        <w:ind w:left="4220" w:hanging="360"/>
      </w:pPr>
      <w:rPr>
        <w:rFonts w:ascii="Courier New" w:hAnsi="Courier New" w:cs="Courier New" w:hint="default"/>
      </w:rPr>
    </w:lvl>
    <w:lvl w:ilvl="5" w:tplc="04090005" w:tentative="1">
      <w:start w:val="1"/>
      <w:numFmt w:val="bullet"/>
      <w:lvlText w:val=""/>
      <w:lvlJc w:val="left"/>
      <w:pPr>
        <w:ind w:left="4940" w:hanging="360"/>
      </w:pPr>
      <w:rPr>
        <w:rFonts w:ascii="Wingdings" w:hAnsi="Wingdings" w:hint="default"/>
      </w:rPr>
    </w:lvl>
    <w:lvl w:ilvl="6" w:tplc="04090001" w:tentative="1">
      <w:start w:val="1"/>
      <w:numFmt w:val="bullet"/>
      <w:lvlText w:val=""/>
      <w:lvlJc w:val="left"/>
      <w:pPr>
        <w:ind w:left="5660" w:hanging="360"/>
      </w:pPr>
      <w:rPr>
        <w:rFonts w:ascii="Symbol" w:hAnsi="Symbol" w:hint="default"/>
      </w:rPr>
    </w:lvl>
    <w:lvl w:ilvl="7" w:tplc="04090003" w:tentative="1">
      <w:start w:val="1"/>
      <w:numFmt w:val="bullet"/>
      <w:lvlText w:val="o"/>
      <w:lvlJc w:val="left"/>
      <w:pPr>
        <w:ind w:left="6380" w:hanging="360"/>
      </w:pPr>
      <w:rPr>
        <w:rFonts w:ascii="Courier New" w:hAnsi="Courier New" w:cs="Courier New" w:hint="default"/>
      </w:rPr>
    </w:lvl>
    <w:lvl w:ilvl="8" w:tplc="04090005" w:tentative="1">
      <w:start w:val="1"/>
      <w:numFmt w:val="bullet"/>
      <w:lvlText w:val=""/>
      <w:lvlJc w:val="left"/>
      <w:pPr>
        <w:ind w:left="7100" w:hanging="360"/>
      </w:pPr>
      <w:rPr>
        <w:rFonts w:ascii="Wingdings" w:hAnsi="Wingdings" w:hint="default"/>
      </w:rPr>
    </w:lvl>
  </w:abstractNum>
  <w:abstractNum w:abstractNumId="8" w15:restartNumberingAfterBreak="0">
    <w:nsid w:val="175954E1"/>
    <w:multiLevelType w:val="multilevel"/>
    <w:tmpl w:val="CC14BF0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upp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9923CE3"/>
    <w:multiLevelType w:val="multilevel"/>
    <w:tmpl w:val="D3CE4116"/>
    <w:lvl w:ilvl="0">
      <w:start w:val="1"/>
      <w:numFmt w:val="decimal"/>
      <w:lvlText w:val="%1"/>
      <w:lvlJc w:val="left"/>
      <w:pPr>
        <w:tabs>
          <w:tab w:val="num" w:pos="0"/>
        </w:tabs>
        <w:ind w:left="432" w:hanging="432"/>
      </w:pPr>
      <w:rPr>
        <w:rFonts w:hint="default"/>
      </w:rPr>
    </w:lvl>
    <w:lvl w:ilvl="1">
      <w:start w:val="1"/>
      <w:numFmt w:val="decimal"/>
      <w:lvlText w:val="%1.%2"/>
      <w:lvlJc w:val="left"/>
      <w:pPr>
        <w:tabs>
          <w:tab w:val="num" w:pos="692"/>
        </w:tabs>
        <w:ind w:left="720" w:hanging="36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1B4F6B29"/>
    <w:multiLevelType w:val="singleLevel"/>
    <w:tmpl w:val="AD7C0B6E"/>
    <w:lvl w:ilvl="0">
      <w:start w:val="27"/>
      <w:numFmt w:val="lowerLetter"/>
      <w:lvlText w:val="(%1)"/>
      <w:lvlJc w:val="left"/>
      <w:pPr>
        <w:tabs>
          <w:tab w:val="num" w:pos="1122"/>
        </w:tabs>
        <w:ind w:left="1122" w:hanging="555"/>
      </w:pPr>
      <w:rPr>
        <w:rFonts w:hint="default"/>
      </w:rPr>
    </w:lvl>
  </w:abstractNum>
  <w:abstractNum w:abstractNumId="11" w15:restartNumberingAfterBreak="0">
    <w:nsid w:val="1C616800"/>
    <w:multiLevelType w:val="hybridMultilevel"/>
    <w:tmpl w:val="C4D6E6E6"/>
    <w:lvl w:ilvl="0" w:tplc="40D4677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EFD1399"/>
    <w:multiLevelType w:val="multilevel"/>
    <w:tmpl w:val="C61828B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upp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73369E"/>
    <w:multiLevelType w:val="hybridMultilevel"/>
    <w:tmpl w:val="FF889B6C"/>
    <w:lvl w:ilvl="0" w:tplc="5E7886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E30D06"/>
    <w:multiLevelType w:val="hybridMultilevel"/>
    <w:tmpl w:val="AD588FB8"/>
    <w:lvl w:ilvl="0" w:tplc="037CF1E6">
      <w:start w:val="1"/>
      <w:numFmt w:val="lowerLetter"/>
      <w:lvlText w:val="(%1)"/>
      <w:lvlJc w:val="left"/>
      <w:pPr>
        <w:ind w:left="4320" w:hanging="360"/>
      </w:pPr>
      <w:rPr>
        <w:rFonts w:hint="default"/>
      </w:rPr>
    </w:lvl>
    <w:lvl w:ilvl="1" w:tplc="08090019">
      <w:start w:val="1"/>
      <w:numFmt w:val="lowerLetter"/>
      <w:lvlText w:val="%2."/>
      <w:lvlJc w:val="left"/>
      <w:pPr>
        <w:ind w:left="5040" w:hanging="360"/>
      </w:pPr>
    </w:lvl>
    <w:lvl w:ilvl="2" w:tplc="0809001B" w:tentative="1">
      <w:start w:val="1"/>
      <w:numFmt w:val="lowerRoman"/>
      <w:lvlText w:val="%3."/>
      <w:lvlJc w:val="right"/>
      <w:pPr>
        <w:ind w:left="5760" w:hanging="180"/>
      </w:p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15" w15:restartNumberingAfterBreak="0">
    <w:nsid w:val="2522473B"/>
    <w:multiLevelType w:val="hybridMultilevel"/>
    <w:tmpl w:val="F74A6D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6C1BD8"/>
    <w:multiLevelType w:val="multilevel"/>
    <w:tmpl w:val="8D72EFA6"/>
    <w:lvl w:ilvl="0">
      <w:start w:val="1"/>
      <w:numFmt w:val="decimal"/>
      <w:lvlText w:val="%1."/>
      <w:lvlJc w:val="left"/>
      <w:pPr>
        <w:tabs>
          <w:tab w:val="num" w:pos="1778"/>
        </w:tabs>
        <w:ind w:left="1778" w:hanging="360"/>
      </w:pPr>
    </w:lvl>
    <w:lvl w:ilvl="1">
      <w:start w:val="1"/>
      <w:numFmt w:val="lowerRoman"/>
      <w:lvlText w:val="(%2)"/>
      <w:lvlJc w:val="left"/>
      <w:pPr>
        <w:tabs>
          <w:tab w:val="num" w:pos="2722"/>
        </w:tabs>
        <w:ind w:left="2722" w:hanging="944"/>
      </w:pPr>
    </w:lvl>
    <w:lvl w:ilvl="2">
      <w:start w:val="1"/>
      <w:numFmt w:val="lowerLetter"/>
      <w:lvlText w:val="(%3)"/>
      <w:lvlJc w:val="left"/>
      <w:pPr>
        <w:tabs>
          <w:tab w:val="num" w:pos="3403"/>
        </w:tabs>
        <w:ind w:left="3403" w:hanging="1265"/>
      </w:pPr>
    </w:lvl>
    <w:lvl w:ilvl="3">
      <w:start w:val="1"/>
      <w:numFmt w:val="decimal"/>
      <w:lvlText w:val="(%4)"/>
      <w:lvlJc w:val="left"/>
      <w:pPr>
        <w:tabs>
          <w:tab w:val="num" w:pos="2858"/>
        </w:tabs>
        <w:ind w:left="2858" w:hanging="360"/>
      </w:pPr>
    </w:lvl>
    <w:lvl w:ilvl="4">
      <w:start w:val="1"/>
      <w:numFmt w:val="lowerLetter"/>
      <w:lvlText w:val="(%5)"/>
      <w:lvlJc w:val="left"/>
      <w:pPr>
        <w:tabs>
          <w:tab w:val="num" w:pos="3218"/>
        </w:tabs>
        <w:ind w:left="3218" w:hanging="360"/>
      </w:pPr>
    </w:lvl>
    <w:lvl w:ilvl="5">
      <w:start w:val="1"/>
      <w:numFmt w:val="lowerRoman"/>
      <w:lvlText w:val="(%6)"/>
      <w:lvlJc w:val="left"/>
      <w:pPr>
        <w:tabs>
          <w:tab w:val="num" w:pos="3578"/>
        </w:tabs>
        <w:ind w:left="3578" w:hanging="360"/>
      </w:pPr>
    </w:lvl>
    <w:lvl w:ilvl="6">
      <w:start w:val="1"/>
      <w:numFmt w:val="decimal"/>
      <w:lvlText w:val="%7."/>
      <w:lvlJc w:val="left"/>
      <w:pPr>
        <w:tabs>
          <w:tab w:val="num" w:pos="3938"/>
        </w:tabs>
        <w:ind w:left="3938" w:hanging="360"/>
      </w:pPr>
    </w:lvl>
    <w:lvl w:ilvl="7">
      <w:start w:val="1"/>
      <w:numFmt w:val="lowerLetter"/>
      <w:lvlText w:val="%8."/>
      <w:lvlJc w:val="left"/>
      <w:pPr>
        <w:tabs>
          <w:tab w:val="num" w:pos="4298"/>
        </w:tabs>
        <w:ind w:left="4298" w:hanging="360"/>
      </w:pPr>
    </w:lvl>
    <w:lvl w:ilvl="8">
      <w:start w:val="1"/>
      <w:numFmt w:val="lowerRoman"/>
      <w:lvlText w:val="%9."/>
      <w:lvlJc w:val="left"/>
      <w:pPr>
        <w:tabs>
          <w:tab w:val="num" w:pos="4658"/>
        </w:tabs>
        <w:ind w:left="4658" w:hanging="360"/>
      </w:pPr>
    </w:lvl>
  </w:abstractNum>
  <w:abstractNum w:abstractNumId="17" w15:restartNumberingAfterBreak="0">
    <w:nsid w:val="304D2A00"/>
    <w:multiLevelType w:val="hybridMultilevel"/>
    <w:tmpl w:val="AA62FBC2"/>
    <w:lvl w:ilvl="0" w:tplc="DCD4455E">
      <w:start w:val="1"/>
      <w:numFmt w:val="decimal"/>
      <w:lvlText w:val="(%1)"/>
      <w:lvlJc w:val="left"/>
      <w:pPr>
        <w:ind w:left="2520" w:hanging="360"/>
      </w:pPr>
      <w:rPr>
        <w:rFonts w:hint="default"/>
      </w:rPr>
    </w:lvl>
    <w:lvl w:ilvl="1" w:tplc="08090019">
      <w:start w:val="1"/>
      <w:numFmt w:val="lowerLetter"/>
      <w:lvlText w:val="%2."/>
      <w:lvlJc w:val="left"/>
      <w:pPr>
        <w:ind w:left="3240" w:hanging="360"/>
      </w:pPr>
    </w:lvl>
    <w:lvl w:ilvl="2" w:tplc="0809001B">
      <w:start w:val="1"/>
      <w:numFmt w:val="lowerRoman"/>
      <w:lvlText w:val="%3."/>
      <w:lvlJc w:val="right"/>
      <w:pPr>
        <w:ind w:left="3960" w:hanging="180"/>
      </w:pPr>
    </w:lvl>
    <w:lvl w:ilvl="3" w:tplc="0809000F">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8" w15:restartNumberingAfterBreak="0">
    <w:nsid w:val="32A21F97"/>
    <w:multiLevelType w:val="multilevel"/>
    <w:tmpl w:val="3106033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upp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3CE32FB"/>
    <w:multiLevelType w:val="hybridMultilevel"/>
    <w:tmpl w:val="4E6E2786"/>
    <w:lvl w:ilvl="0" w:tplc="22764E6E">
      <w:start w:val="1"/>
      <w:numFmt w:val="lowerLetter"/>
      <w:lvlText w:val="(%1)"/>
      <w:lvlJc w:val="left"/>
      <w:pPr>
        <w:ind w:left="4320" w:hanging="360"/>
      </w:pPr>
      <w:rPr>
        <w:rFonts w:hint="default"/>
      </w:rPr>
    </w:lvl>
    <w:lvl w:ilvl="1" w:tplc="08090019" w:tentative="1">
      <w:start w:val="1"/>
      <w:numFmt w:val="lowerLetter"/>
      <w:lvlText w:val="%2."/>
      <w:lvlJc w:val="left"/>
      <w:pPr>
        <w:ind w:left="5040" w:hanging="360"/>
      </w:pPr>
    </w:lvl>
    <w:lvl w:ilvl="2" w:tplc="0809001B" w:tentative="1">
      <w:start w:val="1"/>
      <w:numFmt w:val="lowerRoman"/>
      <w:lvlText w:val="%3."/>
      <w:lvlJc w:val="right"/>
      <w:pPr>
        <w:ind w:left="5760" w:hanging="180"/>
      </w:p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20" w15:restartNumberingAfterBreak="0">
    <w:nsid w:val="38514585"/>
    <w:multiLevelType w:val="hybridMultilevel"/>
    <w:tmpl w:val="C5E800FC"/>
    <w:lvl w:ilvl="0" w:tplc="29D2E8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B9E619F"/>
    <w:multiLevelType w:val="hybridMultilevel"/>
    <w:tmpl w:val="3326BCC2"/>
    <w:lvl w:ilvl="0" w:tplc="585664CA">
      <w:start w:val="1"/>
      <w:numFmt w:val="decimal"/>
      <w:lvlText w:val="(%1)"/>
      <w:lvlJc w:val="left"/>
      <w:pPr>
        <w:ind w:left="669" w:hanging="360"/>
      </w:pPr>
      <w:rPr>
        <w:rFonts w:hint="default"/>
      </w:rPr>
    </w:lvl>
    <w:lvl w:ilvl="1" w:tplc="08090019" w:tentative="1">
      <w:start w:val="1"/>
      <w:numFmt w:val="lowerLetter"/>
      <w:lvlText w:val="%2."/>
      <w:lvlJc w:val="left"/>
      <w:pPr>
        <w:ind w:left="1389" w:hanging="360"/>
      </w:pPr>
    </w:lvl>
    <w:lvl w:ilvl="2" w:tplc="0809001B" w:tentative="1">
      <w:start w:val="1"/>
      <w:numFmt w:val="lowerRoman"/>
      <w:lvlText w:val="%3."/>
      <w:lvlJc w:val="right"/>
      <w:pPr>
        <w:ind w:left="2109" w:hanging="180"/>
      </w:pPr>
    </w:lvl>
    <w:lvl w:ilvl="3" w:tplc="0809000F" w:tentative="1">
      <w:start w:val="1"/>
      <w:numFmt w:val="decimal"/>
      <w:lvlText w:val="%4."/>
      <w:lvlJc w:val="left"/>
      <w:pPr>
        <w:ind w:left="2829" w:hanging="360"/>
      </w:pPr>
    </w:lvl>
    <w:lvl w:ilvl="4" w:tplc="08090019" w:tentative="1">
      <w:start w:val="1"/>
      <w:numFmt w:val="lowerLetter"/>
      <w:lvlText w:val="%5."/>
      <w:lvlJc w:val="left"/>
      <w:pPr>
        <w:ind w:left="3549" w:hanging="360"/>
      </w:pPr>
    </w:lvl>
    <w:lvl w:ilvl="5" w:tplc="0809001B" w:tentative="1">
      <w:start w:val="1"/>
      <w:numFmt w:val="lowerRoman"/>
      <w:lvlText w:val="%6."/>
      <w:lvlJc w:val="right"/>
      <w:pPr>
        <w:ind w:left="4269" w:hanging="180"/>
      </w:pPr>
    </w:lvl>
    <w:lvl w:ilvl="6" w:tplc="0809000F" w:tentative="1">
      <w:start w:val="1"/>
      <w:numFmt w:val="decimal"/>
      <w:lvlText w:val="%7."/>
      <w:lvlJc w:val="left"/>
      <w:pPr>
        <w:ind w:left="4989" w:hanging="360"/>
      </w:pPr>
    </w:lvl>
    <w:lvl w:ilvl="7" w:tplc="08090019" w:tentative="1">
      <w:start w:val="1"/>
      <w:numFmt w:val="lowerLetter"/>
      <w:lvlText w:val="%8."/>
      <w:lvlJc w:val="left"/>
      <w:pPr>
        <w:ind w:left="5709" w:hanging="360"/>
      </w:pPr>
    </w:lvl>
    <w:lvl w:ilvl="8" w:tplc="0809001B" w:tentative="1">
      <w:start w:val="1"/>
      <w:numFmt w:val="lowerRoman"/>
      <w:lvlText w:val="%9."/>
      <w:lvlJc w:val="right"/>
      <w:pPr>
        <w:ind w:left="6429" w:hanging="180"/>
      </w:pPr>
    </w:lvl>
  </w:abstractNum>
  <w:abstractNum w:abstractNumId="22" w15:restartNumberingAfterBreak="0">
    <w:nsid w:val="40523D0B"/>
    <w:multiLevelType w:val="hybridMultilevel"/>
    <w:tmpl w:val="71761D5A"/>
    <w:lvl w:ilvl="0" w:tplc="2DF8DC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802562"/>
    <w:multiLevelType w:val="hybridMultilevel"/>
    <w:tmpl w:val="38404D98"/>
    <w:lvl w:ilvl="0" w:tplc="06A691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42636F"/>
    <w:multiLevelType w:val="hybridMultilevel"/>
    <w:tmpl w:val="C03A074A"/>
    <w:lvl w:ilvl="0" w:tplc="5E7886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DA6C0B"/>
    <w:multiLevelType w:val="hybridMultilevel"/>
    <w:tmpl w:val="B58C5E06"/>
    <w:lvl w:ilvl="0" w:tplc="D0749E52">
      <w:start w:val="1"/>
      <w:numFmt w:val="decimal"/>
      <w:lvlText w:val="(%1)"/>
      <w:lvlJc w:val="left"/>
      <w:pPr>
        <w:tabs>
          <w:tab w:val="num" w:pos="1689"/>
        </w:tabs>
        <w:ind w:left="1689" w:hanging="555"/>
      </w:pPr>
      <w:rPr>
        <w:rFonts w:cs="Times New Roman" w:hint="default"/>
      </w:rPr>
    </w:lvl>
    <w:lvl w:ilvl="1" w:tplc="84EE32E2">
      <w:start w:val="2"/>
      <w:numFmt w:val="lowerRoman"/>
      <w:lvlText w:val="%2)"/>
      <w:lvlJc w:val="left"/>
      <w:pPr>
        <w:tabs>
          <w:tab w:val="num" w:pos="2574"/>
        </w:tabs>
        <w:ind w:left="2574" w:hanging="720"/>
      </w:pPr>
      <w:rPr>
        <w:rFonts w:cs="Times New Roman" w:hint="default"/>
      </w:rPr>
    </w:lvl>
    <w:lvl w:ilvl="2" w:tplc="A36AA2E2">
      <w:start w:val="2"/>
      <w:numFmt w:val="lowerRoman"/>
      <w:lvlText w:val="(%3)"/>
      <w:lvlJc w:val="left"/>
      <w:pPr>
        <w:tabs>
          <w:tab w:val="num" w:pos="3474"/>
        </w:tabs>
        <w:ind w:left="3474" w:hanging="720"/>
      </w:pPr>
      <w:rPr>
        <w:rFonts w:cs="Times New Roman" w:hint="default"/>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26" w15:restartNumberingAfterBreak="0">
    <w:nsid w:val="472818A7"/>
    <w:multiLevelType w:val="hybridMultilevel"/>
    <w:tmpl w:val="9ED6073A"/>
    <w:lvl w:ilvl="0" w:tplc="B34E5FA4">
      <w:start w:val="1"/>
      <w:numFmt w:val="decimal"/>
      <w:lvlText w:val="(%1)"/>
      <w:lvlJc w:val="left"/>
      <w:pPr>
        <w:ind w:left="527" w:hanging="360"/>
      </w:pPr>
      <w:rPr>
        <w:rFonts w:hint="default"/>
      </w:rPr>
    </w:lvl>
    <w:lvl w:ilvl="1" w:tplc="08090019" w:tentative="1">
      <w:start w:val="1"/>
      <w:numFmt w:val="lowerLetter"/>
      <w:lvlText w:val="%2."/>
      <w:lvlJc w:val="left"/>
      <w:pPr>
        <w:ind w:left="1247" w:hanging="360"/>
      </w:pPr>
    </w:lvl>
    <w:lvl w:ilvl="2" w:tplc="0809001B" w:tentative="1">
      <w:start w:val="1"/>
      <w:numFmt w:val="lowerRoman"/>
      <w:lvlText w:val="%3."/>
      <w:lvlJc w:val="right"/>
      <w:pPr>
        <w:ind w:left="1967" w:hanging="180"/>
      </w:pPr>
    </w:lvl>
    <w:lvl w:ilvl="3" w:tplc="0809000F" w:tentative="1">
      <w:start w:val="1"/>
      <w:numFmt w:val="decimal"/>
      <w:lvlText w:val="%4."/>
      <w:lvlJc w:val="left"/>
      <w:pPr>
        <w:ind w:left="2687" w:hanging="360"/>
      </w:pPr>
    </w:lvl>
    <w:lvl w:ilvl="4" w:tplc="08090019" w:tentative="1">
      <w:start w:val="1"/>
      <w:numFmt w:val="lowerLetter"/>
      <w:lvlText w:val="%5."/>
      <w:lvlJc w:val="left"/>
      <w:pPr>
        <w:ind w:left="3407" w:hanging="360"/>
      </w:pPr>
    </w:lvl>
    <w:lvl w:ilvl="5" w:tplc="0809001B" w:tentative="1">
      <w:start w:val="1"/>
      <w:numFmt w:val="lowerRoman"/>
      <w:lvlText w:val="%6."/>
      <w:lvlJc w:val="right"/>
      <w:pPr>
        <w:ind w:left="4127" w:hanging="180"/>
      </w:pPr>
    </w:lvl>
    <w:lvl w:ilvl="6" w:tplc="0809000F" w:tentative="1">
      <w:start w:val="1"/>
      <w:numFmt w:val="decimal"/>
      <w:lvlText w:val="%7."/>
      <w:lvlJc w:val="left"/>
      <w:pPr>
        <w:ind w:left="4847" w:hanging="360"/>
      </w:pPr>
    </w:lvl>
    <w:lvl w:ilvl="7" w:tplc="08090019" w:tentative="1">
      <w:start w:val="1"/>
      <w:numFmt w:val="lowerLetter"/>
      <w:lvlText w:val="%8."/>
      <w:lvlJc w:val="left"/>
      <w:pPr>
        <w:ind w:left="5567" w:hanging="360"/>
      </w:pPr>
    </w:lvl>
    <w:lvl w:ilvl="8" w:tplc="0809001B" w:tentative="1">
      <w:start w:val="1"/>
      <w:numFmt w:val="lowerRoman"/>
      <w:lvlText w:val="%9."/>
      <w:lvlJc w:val="right"/>
      <w:pPr>
        <w:ind w:left="6287" w:hanging="180"/>
      </w:pPr>
    </w:lvl>
  </w:abstractNum>
  <w:abstractNum w:abstractNumId="27" w15:restartNumberingAfterBreak="0">
    <w:nsid w:val="4CF060E6"/>
    <w:multiLevelType w:val="hybridMultilevel"/>
    <w:tmpl w:val="8E3E7EEA"/>
    <w:lvl w:ilvl="0" w:tplc="C99882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090C4C"/>
    <w:multiLevelType w:val="multilevel"/>
    <w:tmpl w:val="9E9EA84A"/>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upp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1A3274B"/>
    <w:multiLevelType w:val="multilevel"/>
    <w:tmpl w:val="1D0A72C0"/>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upp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4EC24FF"/>
    <w:multiLevelType w:val="hybridMultilevel"/>
    <w:tmpl w:val="E7C863BA"/>
    <w:lvl w:ilvl="0" w:tplc="FC9EF2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5992149"/>
    <w:multiLevelType w:val="hybridMultilevel"/>
    <w:tmpl w:val="B53E8BDE"/>
    <w:lvl w:ilvl="0" w:tplc="D1F892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AC6AE4"/>
    <w:multiLevelType w:val="multilevel"/>
    <w:tmpl w:val="999A2110"/>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upp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5EE553FB"/>
    <w:multiLevelType w:val="hybridMultilevel"/>
    <w:tmpl w:val="4C3E6208"/>
    <w:lvl w:ilvl="0" w:tplc="230875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2C028BE"/>
    <w:multiLevelType w:val="hybridMultilevel"/>
    <w:tmpl w:val="0A52421C"/>
    <w:lvl w:ilvl="0" w:tplc="0BF65B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4335159"/>
    <w:multiLevelType w:val="hybridMultilevel"/>
    <w:tmpl w:val="E570902C"/>
    <w:lvl w:ilvl="0" w:tplc="6706AC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8863D00"/>
    <w:multiLevelType w:val="multilevel"/>
    <w:tmpl w:val="65C6B51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upp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94B1D24"/>
    <w:multiLevelType w:val="hybridMultilevel"/>
    <w:tmpl w:val="3620ED00"/>
    <w:lvl w:ilvl="0" w:tplc="20BE7624">
      <w:start w:val="1"/>
      <w:numFmt w:val="decimal"/>
      <w:lvlText w:val="%1."/>
      <w:lvlJc w:val="left"/>
      <w:pPr>
        <w:ind w:left="1140" w:hanging="360"/>
      </w:pPr>
      <w:rPr>
        <w:rFonts w:ascii="Times New Roman" w:hAnsi="Times New Roman" w:cs="Times New Roman"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8" w15:restartNumberingAfterBreak="0">
    <w:nsid w:val="6F166A55"/>
    <w:multiLevelType w:val="hybridMultilevel"/>
    <w:tmpl w:val="5FB8A3F4"/>
    <w:lvl w:ilvl="0" w:tplc="B3B21F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1521B67"/>
    <w:multiLevelType w:val="hybridMultilevel"/>
    <w:tmpl w:val="38265156"/>
    <w:lvl w:ilvl="0" w:tplc="B3B248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5D70B9F"/>
    <w:multiLevelType w:val="multilevel"/>
    <w:tmpl w:val="4D52C604"/>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3207"/>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625"/>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6043"/>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abstractNum w:abstractNumId="41" w15:restartNumberingAfterBreak="0">
    <w:nsid w:val="76E50DE2"/>
    <w:multiLevelType w:val="hybridMultilevel"/>
    <w:tmpl w:val="6EC4BE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C58169F"/>
    <w:multiLevelType w:val="multilevel"/>
    <w:tmpl w:val="471A4352"/>
    <w:lvl w:ilvl="0">
      <w:start w:val="1"/>
      <w:numFmt w:val="decimal"/>
      <w:lvlText w:val="%1."/>
      <w:lvlJc w:val="left"/>
      <w:pPr>
        <w:tabs>
          <w:tab w:val="num" w:pos="360"/>
        </w:tabs>
        <w:ind w:left="360" w:hanging="360"/>
      </w:pPr>
      <w:rPr>
        <w:rFonts w:hint="default"/>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upp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7C6C0C98"/>
    <w:multiLevelType w:val="hybridMultilevel"/>
    <w:tmpl w:val="9C7CC196"/>
    <w:lvl w:ilvl="0" w:tplc="74484F32">
      <w:start w:val="1"/>
      <w:numFmt w:val="decimal"/>
      <w:lvlText w:val="%1)"/>
      <w:lvlJc w:val="left"/>
      <w:pPr>
        <w:ind w:left="1080" w:hanging="360"/>
      </w:pPr>
      <w:rPr>
        <w:rFonts w:ascii="Calibri" w:eastAsia="Calibri" w:hAnsi="Calibri" w:cs="Calibri" w:hint="default"/>
        <w:i/>
        <w:w w:val="100"/>
        <w:sz w:val="22"/>
        <w:szCs w:val="22"/>
        <w:lang w:val="en-GB" w:eastAsia="en-GB" w:bidi="en-GB"/>
      </w:rPr>
    </w:lvl>
    <w:lvl w:ilvl="1" w:tplc="240669B6">
      <w:start w:val="1"/>
      <w:numFmt w:val="lowerLetter"/>
      <w:lvlText w:val="%2."/>
      <w:lvlJc w:val="left"/>
      <w:pPr>
        <w:ind w:left="1440" w:hanging="360"/>
        <w:jc w:val="right"/>
      </w:pPr>
      <w:rPr>
        <w:rFonts w:ascii="Calibri" w:eastAsia="Calibri" w:hAnsi="Calibri" w:cs="Calibri" w:hint="default"/>
        <w:i/>
        <w:spacing w:val="-1"/>
        <w:w w:val="100"/>
        <w:sz w:val="22"/>
        <w:szCs w:val="22"/>
        <w:lang w:val="en-GB" w:eastAsia="en-GB" w:bidi="en-GB"/>
      </w:rPr>
    </w:lvl>
    <w:lvl w:ilvl="2" w:tplc="F1CCAC2C">
      <w:numFmt w:val="bullet"/>
      <w:lvlText w:val="•"/>
      <w:lvlJc w:val="left"/>
      <w:pPr>
        <w:ind w:left="2413" w:hanging="360"/>
      </w:pPr>
      <w:rPr>
        <w:rFonts w:hint="default"/>
        <w:lang w:val="en-GB" w:eastAsia="en-GB" w:bidi="en-GB"/>
      </w:rPr>
    </w:lvl>
    <w:lvl w:ilvl="3" w:tplc="961AD114">
      <w:numFmt w:val="bullet"/>
      <w:lvlText w:val="•"/>
      <w:lvlJc w:val="left"/>
      <w:pPr>
        <w:ind w:left="3386" w:hanging="360"/>
      </w:pPr>
      <w:rPr>
        <w:rFonts w:hint="default"/>
        <w:lang w:val="en-GB" w:eastAsia="en-GB" w:bidi="en-GB"/>
      </w:rPr>
    </w:lvl>
    <w:lvl w:ilvl="4" w:tplc="9000F142">
      <w:numFmt w:val="bullet"/>
      <w:lvlText w:val="•"/>
      <w:lvlJc w:val="left"/>
      <w:pPr>
        <w:ind w:left="4360" w:hanging="360"/>
      </w:pPr>
      <w:rPr>
        <w:rFonts w:hint="default"/>
        <w:lang w:val="en-GB" w:eastAsia="en-GB" w:bidi="en-GB"/>
      </w:rPr>
    </w:lvl>
    <w:lvl w:ilvl="5" w:tplc="F864B65A">
      <w:numFmt w:val="bullet"/>
      <w:lvlText w:val="•"/>
      <w:lvlJc w:val="left"/>
      <w:pPr>
        <w:ind w:left="5333" w:hanging="360"/>
      </w:pPr>
      <w:rPr>
        <w:rFonts w:hint="default"/>
        <w:lang w:val="en-GB" w:eastAsia="en-GB" w:bidi="en-GB"/>
      </w:rPr>
    </w:lvl>
    <w:lvl w:ilvl="6" w:tplc="45DEDE9E">
      <w:numFmt w:val="bullet"/>
      <w:lvlText w:val="•"/>
      <w:lvlJc w:val="left"/>
      <w:pPr>
        <w:ind w:left="6306" w:hanging="360"/>
      </w:pPr>
      <w:rPr>
        <w:rFonts w:hint="default"/>
        <w:lang w:val="en-GB" w:eastAsia="en-GB" w:bidi="en-GB"/>
      </w:rPr>
    </w:lvl>
    <w:lvl w:ilvl="7" w:tplc="E63C101A">
      <w:numFmt w:val="bullet"/>
      <w:lvlText w:val="•"/>
      <w:lvlJc w:val="left"/>
      <w:pPr>
        <w:ind w:left="7280" w:hanging="360"/>
      </w:pPr>
      <w:rPr>
        <w:rFonts w:hint="default"/>
        <w:lang w:val="en-GB" w:eastAsia="en-GB" w:bidi="en-GB"/>
      </w:rPr>
    </w:lvl>
    <w:lvl w:ilvl="8" w:tplc="14F08214">
      <w:numFmt w:val="bullet"/>
      <w:lvlText w:val="•"/>
      <w:lvlJc w:val="left"/>
      <w:pPr>
        <w:ind w:left="8253" w:hanging="360"/>
      </w:pPr>
      <w:rPr>
        <w:rFonts w:hint="default"/>
        <w:lang w:val="en-GB" w:eastAsia="en-GB" w:bidi="en-GB"/>
      </w:rPr>
    </w:lvl>
  </w:abstractNum>
  <w:abstractNum w:abstractNumId="44" w15:restartNumberingAfterBreak="0">
    <w:nsid w:val="7F0C4373"/>
    <w:multiLevelType w:val="hybridMultilevel"/>
    <w:tmpl w:val="9D1A9E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5470815">
    <w:abstractNumId w:val="9"/>
  </w:num>
  <w:num w:numId="2" w16cid:durableId="982002325">
    <w:abstractNumId w:val="9"/>
  </w:num>
  <w:num w:numId="3" w16cid:durableId="1641106484">
    <w:abstractNumId w:val="0"/>
  </w:num>
  <w:num w:numId="4" w16cid:durableId="1432315847">
    <w:abstractNumId w:val="9"/>
  </w:num>
  <w:num w:numId="5" w16cid:durableId="531111331">
    <w:abstractNumId w:val="0"/>
  </w:num>
  <w:num w:numId="6" w16cid:durableId="58983569">
    <w:abstractNumId w:val="0"/>
  </w:num>
  <w:num w:numId="7" w16cid:durableId="667514418">
    <w:abstractNumId w:val="40"/>
  </w:num>
  <w:num w:numId="8" w16cid:durableId="340014185">
    <w:abstractNumId w:val="40"/>
  </w:num>
  <w:num w:numId="9" w16cid:durableId="406003777">
    <w:abstractNumId w:val="40"/>
  </w:num>
  <w:num w:numId="10" w16cid:durableId="713654024">
    <w:abstractNumId w:val="40"/>
  </w:num>
  <w:num w:numId="11" w16cid:durableId="122777413">
    <w:abstractNumId w:val="40"/>
  </w:num>
  <w:num w:numId="12" w16cid:durableId="915479246">
    <w:abstractNumId w:val="40"/>
  </w:num>
  <w:num w:numId="13" w16cid:durableId="242225608">
    <w:abstractNumId w:val="40"/>
  </w:num>
  <w:num w:numId="14" w16cid:durableId="1352998834">
    <w:abstractNumId w:val="40"/>
  </w:num>
  <w:num w:numId="15" w16cid:durableId="1605579708">
    <w:abstractNumId w:val="40"/>
  </w:num>
  <w:num w:numId="16" w16cid:durableId="1697148696">
    <w:abstractNumId w:val="10"/>
  </w:num>
  <w:num w:numId="17" w16cid:durableId="2130465085">
    <w:abstractNumId w:val="27"/>
  </w:num>
  <w:num w:numId="18" w16cid:durableId="2002999384">
    <w:abstractNumId w:val="8"/>
  </w:num>
  <w:num w:numId="19" w16cid:durableId="1078481234">
    <w:abstractNumId w:val="2"/>
  </w:num>
  <w:num w:numId="20" w16cid:durableId="1758599974">
    <w:abstractNumId w:val="28"/>
  </w:num>
  <w:num w:numId="21" w16cid:durableId="20189176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2386609">
    <w:abstractNumId w:val="32"/>
  </w:num>
  <w:num w:numId="23" w16cid:durableId="2037462379">
    <w:abstractNumId w:val="29"/>
  </w:num>
  <w:num w:numId="24" w16cid:durableId="1629094017">
    <w:abstractNumId w:val="12"/>
  </w:num>
  <w:num w:numId="25" w16cid:durableId="1852913113">
    <w:abstractNumId w:val="25"/>
  </w:num>
  <w:num w:numId="26" w16cid:durableId="460421830">
    <w:abstractNumId w:val="42"/>
  </w:num>
  <w:num w:numId="27" w16cid:durableId="449478085">
    <w:abstractNumId w:val="36"/>
  </w:num>
  <w:num w:numId="28" w16cid:durableId="79109253">
    <w:abstractNumId w:val="43"/>
  </w:num>
  <w:num w:numId="29" w16cid:durableId="107892228">
    <w:abstractNumId w:val="18"/>
  </w:num>
  <w:num w:numId="30" w16cid:durableId="1448545614">
    <w:abstractNumId w:val="3"/>
  </w:num>
  <w:num w:numId="31" w16cid:durableId="894007090">
    <w:abstractNumId w:val="24"/>
  </w:num>
  <w:num w:numId="32" w16cid:durableId="268850805">
    <w:abstractNumId w:val="13"/>
  </w:num>
  <w:num w:numId="33" w16cid:durableId="1208034365">
    <w:abstractNumId w:val="1"/>
  </w:num>
  <w:num w:numId="34" w16cid:durableId="450976461">
    <w:abstractNumId w:val="23"/>
  </w:num>
  <w:num w:numId="35" w16cid:durableId="2106262270">
    <w:abstractNumId w:val="11"/>
  </w:num>
  <w:num w:numId="36" w16cid:durableId="1475215587">
    <w:abstractNumId w:val="38"/>
  </w:num>
  <w:num w:numId="37" w16cid:durableId="237441829">
    <w:abstractNumId w:val="26"/>
  </w:num>
  <w:num w:numId="38" w16cid:durableId="1324358862">
    <w:abstractNumId w:val="30"/>
  </w:num>
  <w:num w:numId="39" w16cid:durableId="1976794225">
    <w:abstractNumId w:val="22"/>
  </w:num>
  <w:num w:numId="40" w16cid:durableId="461312804">
    <w:abstractNumId w:val="35"/>
  </w:num>
  <w:num w:numId="41" w16cid:durableId="587082651">
    <w:abstractNumId w:val="4"/>
  </w:num>
  <w:num w:numId="42" w16cid:durableId="986324717">
    <w:abstractNumId w:val="21"/>
  </w:num>
  <w:num w:numId="43" w16cid:durableId="1079786403">
    <w:abstractNumId w:val="5"/>
  </w:num>
  <w:num w:numId="44" w16cid:durableId="1925990985">
    <w:abstractNumId w:val="15"/>
  </w:num>
  <w:num w:numId="45" w16cid:durableId="1344623473">
    <w:abstractNumId w:val="17"/>
  </w:num>
  <w:num w:numId="46" w16cid:durableId="1443724168">
    <w:abstractNumId w:val="19"/>
  </w:num>
  <w:num w:numId="47" w16cid:durableId="2017609396">
    <w:abstractNumId w:val="14"/>
  </w:num>
  <w:num w:numId="48" w16cid:durableId="1914701048">
    <w:abstractNumId w:val="44"/>
  </w:num>
  <w:num w:numId="49" w16cid:durableId="261107156">
    <w:abstractNumId w:val="6"/>
  </w:num>
  <w:num w:numId="50" w16cid:durableId="242836914">
    <w:abstractNumId w:val="20"/>
  </w:num>
  <w:num w:numId="51" w16cid:durableId="119998501">
    <w:abstractNumId w:val="37"/>
  </w:num>
  <w:num w:numId="52" w16cid:durableId="808789758">
    <w:abstractNumId w:val="41"/>
  </w:num>
  <w:num w:numId="53" w16cid:durableId="1864007472">
    <w:abstractNumId w:val="39"/>
  </w:num>
  <w:num w:numId="54" w16cid:durableId="15663414">
    <w:abstractNumId w:val="31"/>
  </w:num>
  <w:num w:numId="55" w16cid:durableId="213543715">
    <w:abstractNumId w:val="33"/>
  </w:num>
  <w:num w:numId="56" w16cid:durableId="533736841">
    <w:abstractNumId w:val="34"/>
  </w:num>
  <w:num w:numId="57" w16cid:durableId="116877294">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57"/>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0" w:val="Najib Afsar"/>
    <w:docVar w:name="1" w:val="the Ft-T"/>
    <w:docVar w:name="10" w:val="Mr Mahmood"/>
    <w:docVar w:name="11" w:val="Carltons"/>
    <w:docVar w:name="12" w:val="Vicarage Court"/>
    <w:docVar w:name="13" w:val="Ms Tromans"/>
    <w:docVar w:name="2" w:val="this Tribunal"/>
    <w:docVar w:name="3" w:val="Judge Taylor"/>
    <w:docVar w:name="4" w:val="SKPM"/>
    <w:docVar w:name="5" w:val="the Property"/>
    <w:docVar w:name="6" w:val="Mr Byrne"/>
    <w:docVar w:name="7" w:val="the Sale Agreement"/>
    <w:docVar w:name="8" w:val="Ms Tromans"/>
    <w:docVar w:name="9" w:val="Shakeel Afsar"/>
  </w:docVars>
  <w:rsids>
    <w:rsidRoot w:val="001805B2"/>
    <w:rsid w:val="00005DB2"/>
    <w:rsid w:val="00014AAB"/>
    <w:rsid w:val="00015324"/>
    <w:rsid w:val="00017EE2"/>
    <w:rsid w:val="000210E6"/>
    <w:rsid w:val="00022483"/>
    <w:rsid w:val="00026D38"/>
    <w:rsid w:val="00027913"/>
    <w:rsid w:val="00032523"/>
    <w:rsid w:val="00032957"/>
    <w:rsid w:val="00035F10"/>
    <w:rsid w:val="00037441"/>
    <w:rsid w:val="00042A66"/>
    <w:rsid w:val="00042CB4"/>
    <w:rsid w:val="00056B1A"/>
    <w:rsid w:val="00056C39"/>
    <w:rsid w:val="00063572"/>
    <w:rsid w:val="0006417E"/>
    <w:rsid w:val="000664A7"/>
    <w:rsid w:val="00071FC9"/>
    <w:rsid w:val="00073554"/>
    <w:rsid w:val="00081F15"/>
    <w:rsid w:val="00083A65"/>
    <w:rsid w:val="00084C24"/>
    <w:rsid w:val="00086611"/>
    <w:rsid w:val="00086D92"/>
    <w:rsid w:val="00087724"/>
    <w:rsid w:val="00087A2C"/>
    <w:rsid w:val="00095480"/>
    <w:rsid w:val="00097B12"/>
    <w:rsid w:val="000A21D6"/>
    <w:rsid w:val="000A26BD"/>
    <w:rsid w:val="000A318E"/>
    <w:rsid w:val="000A54B9"/>
    <w:rsid w:val="000B1601"/>
    <w:rsid w:val="000B28D7"/>
    <w:rsid w:val="000C2B14"/>
    <w:rsid w:val="000C34C4"/>
    <w:rsid w:val="000C4191"/>
    <w:rsid w:val="000C785C"/>
    <w:rsid w:val="000D4F21"/>
    <w:rsid w:val="000D5406"/>
    <w:rsid w:val="000D610F"/>
    <w:rsid w:val="000D61F3"/>
    <w:rsid w:val="000D6FD8"/>
    <w:rsid w:val="000E062B"/>
    <w:rsid w:val="000E2B63"/>
    <w:rsid w:val="000E3BF0"/>
    <w:rsid w:val="000E42D5"/>
    <w:rsid w:val="000E4C69"/>
    <w:rsid w:val="000E4E0B"/>
    <w:rsid w:val="000E4E83"/>
    <w:rsid w:val="000E5E0F"/>
    <w:rsid w:val="000E7B12"/>
    <w:rsid w:val="000F0219"/>
    <w:rsid w:val="000F0EAC"/>
    <w:rsid w:val="000F1054"/>
    <w:rsid w:val="000F3F81"/>
    <w:rsid w:val="000F473A"/>
    <w:rsid w:val="000F7DA8"/>
    <w:rsid w:val="001017A5"/>
    <w:rsid w:val="001021E5"/>
    <w:rsid w:val="001023B5"/>
    <w:rsid w:val="0010696B"/>
    <w:rsid w:val="0011478C"/>
    <w:rsid w:val="001168FA"/>
    <w:rsid w:val="00117061"/>
    <w:rsid w:val="00120B34"/>
    <w:rsid w:val="00120BA9"/>
    <w:rsid w:val="00121DEE"/>
    <w:rsid w:val="00122F6E"/>
    <w:rsid w:val="00124114"/>
    <w:rsid w:val="00124486"/>
    <w:rsid w:val="00130152"/>
    <w:rsid w:val="00131E10"/>
    <w:rsid w:val="00133B91"/>
    <w:rsid w:val="00134977"/>
    <w:rsid w:val="0013787A"/>
    <w:rsid w:val="00141B45"/>
    <w:rsid w:val="00141BFB"/>
    <w:rsid w:val="00143517"/>
    <w:rsid w:val="00144843"/>
    <w:rsid w:val="00147699"/>
    <w:rsid w:val="00151128"/>
    <w:rsid w:val="00153286"/>
    <w:rsid w:val="00153F17"/>
    <w:rsid w:val="0015633B"/>
    <w:rsid w:val="00156E54"/>
    <w:rsid w:val="00157B18"/>
    <w:rsid w:val="00157E05"/>
    <w:rsid w:val="00166373"/>
    <w:rsid w:val="001666D9"/>
    <w:rsid w:val="00170B13"/>
    <w:rsid w:val="00172BE4"/>
    <w:rsid w:val="0017481F"/>
    <w:rsid w:val="00177FC1"/>
    <w:rsid w:val="001805B2"/>
    <w:rsid w:val="00184031"/>
    <w:rsid w:val="00184ECA"/>
    <w:rsid w:val="001857A4"/>
    <w:rsid w:val="00186244"/>
    <w:rsid w:val="00186A03"/>
    <w:rsid w:val="00193D16"/>
    <w:rsid w:val="001941DF"/>
    <w:rsid w:val="0019436F"/>
    <w:rsid w:val="001A027C"/>
    <w:rsid w:val="001A26E8"/>
    <w:rsid w:val="001A419C"/>
    <w:rsid w:val="001A5ACE"/>
    <w:rsid w:val="001B1EC2"/>
    <w:rsid w:val="001B2169"/>
    <w:rsid w:val="001B4519"/>
    <w:rsid w:val="001C09E8"/>
    <w:rsid w:val="001E5C44"/>
    <w:rsid w:val="001F1288"/>
    <w:rsid w:val="001F418A"/>
    <w:rsid w:val="001F722F"/>
    <w:rsid w:val="001F7E73"/>
    <w:rsid w:val="002034A8"/>
    <w:rsid w:val="0020442C"/>
    <w:rsid w:val="002044A0"/>
    <w:rsid w:val="00204584"/>
    <w:rsid w:val="0020693E"/>
    <w:rsid w:val="00206A70"/>
    <w:rsid w:val="00206C8D"/>
    <w:rsid w:val="00210088"/>
    <w:rsid w:val="002111AC"/>
    <w:rsid w:val="00212C2C"/>
    <w:rsid w:val="00215F38"/>
    <w:rsid w:val="0021651A"/>
    <w:rsid w:val="00224B47"/>
    <w:rsid w:val="0022532B"/>
    <w:rsid w:val="00226406"/>
    <w:rsid w:val="002277C8"/>
    <w:rsid w:val="00232E4F"/>
    <w:rsid w:val="00241A18"/>
    <w:rsid w:val="00243270"/>
    <w:rsid w:val="00243F9B"/>
    <w:rsid w:val="0024632A"/>
    <w:rsid w:val="002518DC"/>
    <w:rsid w:val="002523FA"/>
    <w:rsid w:val="002527FD"/>
    <w:rsid w:val="00254DE1"/>
    <w:rsid w:val="00262761"/>
    <w:rsid w:val="00266DA6"/>
    <w:rsid w:val="00267E1F"/>
    <w:rsid w:val="0027084D"/>
    <w:rsid w:val="00270F1A"/>
    <w:rsid w:val="00277482"/>
    <w:rsid w:val="00277849"/>
    <w:rsid w:val="00283598"/>
    <w:rsid w:val="00285A52"/>
    <w:rsid w:val="00287085"/>
    <w:rsid w:val="00290CBF"/>
    <w:rsid w:val="00293043"/>
    <w:rsid w:val="00294521"/>
    <w:rsid w:val="00295E48"/>
    <w:rsid w:val="002A10D9"/>
    <w:rsid w:val="002A59D8"/>
    <w:rsid w:val="002A683F"/>
    <w:rsid w:val="002B2EF1"/>
    <w:rsid w:val="002B2FB1"/>
    <w:rsid w:val="002B4752"/>
    <w:rsid w:val="002B5CC8"/>
    <w:rsid w:val="002B7EC7"/>
    <w:rsid w:val="002C09F6"/>
    <w:rsid w:val="002C0A4B"/>
    <w:rsid w:val="002C19B9"/>
    <w:rsid w:val="002C1EEB"/>
    <w:rsid w:val="002C2400"/>
    <w:rsid w:val="002C4B82"/>
    <w:rsid w:val="002C5BC8"/>
    <w:rsid w:val="002C5EFC"/>
    <w:rsid w:val="002D154C"/>
    <w:rsid w:val="002D3426"/>
    <w:rsid w:val="002D3AC1"/>
    <w:rsid w:val="002D5E91"/>
    <w:rsid w:val="002D74E1"/>
    <w:rsid w:val="002E24E5"/>
    <w:rsid w:val="002F04F7"/>
    <w:rsid w:val="002F08E4"/>
    <w:rsid w:val="002F1656"/>
    <w:rsid w:val="002F1CB2"/>
    <w:rsid w:val="002F2848"/>
    <w:rsid w:val="002F3FA4"/>
    <w:rsid w:val="0030007A"/>
    <w:rsid w:val="00302215"/>
    <w:rsid w:val="0030413D"/>
    <w:rsid w:val="0030515D"/>
    <w:rsid w:val="00306222"/>
    <w:rsid w:val="00311C4E"/>
    <w:rsid w:val="0032035B"/>
    <w:rsid w:val="0032314A"/>
    <w:rsid w:val="0032365F"/>
    <w:rsid w:val="0032394F"/>
    <w:rsid w:val="00323B2D"/>
    <w:rsid w:val="00325542"/>
    <w:rsid w:val="0033538B"/>
    <w:rsid w:val="003368B3"/>
    <w:rsid w:val="003406FF"/>
    <w:rsid w:val="0034146E"/>
    <w:rsid w:val="0034383C"/>
    <w:rsid w:val="00347B58"/>
    <w:rsid w:val="003525FF"/>
    <w:rsid w:val="00352AB9"/>
    <w:rsid w:val="00352B15"/>
    <w:rsid w:val="003538E6"/>
    <w:rsid w:val="00354C52"/>
    <w:rsid w:val="0036575E"/>
    <w:rsid w:val="00366A60"/>
    <w:rsid w:val="00366E40"/>
    <w:rsid w:val="00366EF4"/>
    <w:rsid w:val="00367D90"/>
    <w:rsid w:val="00370595"/>
    <w:rsid w:val="00371A3B"/>
    <w:rsid w:val="00380F9F"/>
    <w:rsid w:val="003832B9"/>
    <w:rsid w:val="00390217"/>
    <w:rsid w:val="003905D1"/>
    <w:rsid w:val="003905DF"/>
    <w:rsid w:val="00391DFC"/>
    <w:rsid w:val="003A3CDD"/>
    <w:rsid w:val="003A7DCB"/>
    <w:rsid w:val="003B124D"/>
    <w:rsid w:val="003B2AAC"/>
    <w:rsid w:val="003B3268"/>
    <w:rsid w:val="003B7A4C"/>
    <w:rsid w:val="003C1200"/>
    <w:rsid w:val="003C1E9C"/>
    <w:rsid w:val="003C2783"/>
    <w:rsid w:val="003C5E71"/>
    <w:rsid w:val="003D2ED0"/>
    <w:rsid w:val="003D4F56"/>
    <w:rsid w:val="003E03D4"/>
    <w:rsid w:val="003E143F"/>
    <w:rsid w:val="003E4329"/>
    <w:rsid w:val="003E487B"/>
    <w:rsid w:val="003E6306"/>
    <w:rsid w:val="003E7CEB"/>
    <w:rsid w:val="003E7D71"/>
    <w:rsid w:val="003F16A5"/>
    <w:rsid w:val="003F29F8"/>
    <w:rsid w:val="003F3919"/>
    <w:rsid w:val="00400A7F"/>
    <w:rsid w:val="0040106C"/>
    <w:rsid w:val="00401D1D"/>
    <w:rsid w:val="00401EAE"/>
    <w:rsid w:val="00402F7A"/>
    <w:rsid w:val="00405845"/>
    <w:rsid w:val="004062F4"/>
    <w:rsid w:val="00406A92"/>
    <w:rsid w:val="00410BB6"/>
    <w:rsid w:val="00411890"/>
    <w:rsid w:val="00416007"/>
    <w:rsid w:val="00425C0A"/>
    <w:rsid w:val="0042744F"/>
    <w:rsid w:val="0043023C"/>
    <w:rsid w:val="00431479"/>
    <w:rsid w:val="00431ACA"/>
    <w:rsid w:val="00433245"/>
    <w:rsid w:val="004340C7"/>
    <w:rsid w:val="0043449F"/>
    <w:rsid w:val="00434CAC"/>
    <w:rsid w:val="004365B5"/>
    <w:rsid w:val="004366B5"/>
    <w:rsid w:val="00443010"/>
    <w:rsid w:val="00454C58"/>
    <w:rsid w:val="00455BB6"/>
    <w:rsid w:val="00456EE2"/>
    <w:rsid w:val="00462C43"/>
    <w:rsid w:val="004631F9"/>
    <w:rsid w:val="004723C6"/>
    <w:rsid w:val="004760F6"/>
    <w:rsid w:val="004779CF"/>
    <w:rsid w:val="00477BD8"/>
    <w:rsid w:val="00480DF8"/>
    <w:rsid w:val="00480FBE"/>
    <w:rsid w:val="0048783B"/>
    <w:rsid w:val="00491398"/>
    <w:rsid w:val="0049185F"/>
    <w:rsid w:val="00491C6A"/>
    <w:rsid w:val="00494433"/>
    <w:rsid w:val="004A2EC7"/>
    <w:rsid w:val="004A5AA6"/>
    <w:rsid w:val="004B3F60"/>
    <w:rsid w:val="004B5A9C"/>
    <w:rsid w:val="004B69CB"/>
    <w:rsid w:val="004B6E0B"/>
    <w:rsid w:val="004B76EA"/>
    <w:rsid w:val="004C094D"/>
    <w:rsid w:val="004C6E8C"/>
    <w:rsid w:val="004D0E90"/>
    <w:rsid w:val="004D1D6B"/>
    <w:rsid w:val="004D1E0F"/>
    <w:rsid w:val="004D5991"/>
    <w:rsid w:val="004D65B5"/>
    <w:rsid w:val="004D73F4"/>
    <w:rsid w:val="004D7573"/>
    <w:rsid w:val="004D7895"/>
    <w:rsid w:val="004E2308"/>
    <w:rsid w:val="004E306B"/>
    <w:rsid w:val="004E3DBC"/>
    <w:rsid w:val="004E7673"/>
    <w:rsid w:val="004F0968"/>
    <w:rsid w:val="004F1B93"/>
    <w:rsid w:val="004F24C6"/>
    <w:rsid w:val="004F3892"/>
    <w:rsid w:val="004F498E"/>
    <w:rsid w:val="005000A0"/>
    <w:rsid w:val="00500294"/>
    <w:rsid w:val="00502D49"/>
    <w:rsid w:val="0050595D"/>
    <w:rsid w:val="00506A6A"/>
    <w:rsid w:val="00506DC7"/>
    <w:rsid w:val="005109B3"/>
    <w:rsid w:val="00513C40"/>
    <w:rsid w:val="0051455F"/>
    <w:rsid w:val="005150E7"/>
    <w:rsid w:val="00516240"/>
    <w:rsid w:val="00517EAF"/>
    <w:rsid w:val="0052401E"/>
    <w:rsid w:val="005245B4"/>
    <w:rsid w:val="00525E49"/>
    <w:rsid w:val="0052714F"/>
    <w:rsid w:val="00532013"/>
    <w:rsid w:val="00533194"/>
    <w:rsid w:val="005359DF"/>
    <w:rsid w:val="00535EFB"/>
    <w:rsid w:val="00540491"/>
    <w:rsid w:val="005411E0"/>
    <w:rsid w:val="005417E7"/>
    <w:rsid w:val="00542F03"/>
    <w:rsid w:val="00544B5F"/>
    <w:rsid w:val="005451AC"/>
    <w:rsid w:val="0054653C"/>
    <w:rsid w:val="005474AE"/>
    <w:rsid w:val="0055692F"/>
    <w:rsid w:val="00560E1E"/>
    <w:rsid w:val="00562C1B"/>
    <w:rsid w:val="00565B0B"/>
    <w:rsid w:val="00565F98"/>
    <w:rsid w:val="00566759"/>
    <w:rsid w:val="00572511"/>
    <w:rsid w:val="00573142"/>
    <w:rsid w:val="005741E1"/>
    <w:rsid w:val="00575BD9"/>
    <w:rsid w:val="005841BC"/>
    <w:rsid w:val="005841D9"/>
    <w:rsid w:val="00584E93"/>
    <w:rsid w:val="00585692"/>
    <w:rsid w:val="00591527"/>
    <w:rsid w:val="00593227"/>
    <w:rsid w:val="005A15E5"/>
    <w:rsid w:val="005A18AC"/>
    <w:rsid w:val="005A1B54"/>
    <w:rsid w:val="005A1F5D"/>
    <w:rsid w:val="005A2458"/>
    <w:rsid w:val="005A4CCF"/>
    <w:rsid w:val="005B07DD"/>
    <w:rsid w:val="005B216B"/>
    <w:rsid w:val="005B6325"/>
    <w:rsid w:val="005B68CC"/>
    <w:rsid w:val="005B7169"/>
    <w:rsid w:val="005B71E3"/>
    <w:rsid w:val="005B76A9"/>
    <w:rsid w:val="005B770F"/>
    <w:rsid w:val="005C392A"/>
    <w:rsid w:val="005C3A51"/>
    <w:rsid w:val="005D3899"/>
    <w:rsid w:val="005D6AC1"/>
    <w:rsid w:val="005D7013"/>
    <w:rsid w:val="005E03BE"/>
    <w:rsid w:val="005E03D0"/>
    <w:rsid w:val="005E2DCB"/>
    <w:rsid w:val="005E373C"/>
    <w:rsid w:val="005E53BB"/>
    <w:rsid w:val="005E541D"/>
    <w:rsid w:val="005E7EB5"/>
    <w:rsid w:val="005F02D4"/>
    <w:rsid w:val="005F055D"/>
    <w:rsid w:val="005F06EE"/>
    <w:rsid w:val="005F2D48"/>
    <w:rsid w:val="005F5411"/>
    <w:rsid w:val="005F5D82"/>
    <w:rsid w:val="00604642"/>
    <w:rsid w:val="00606B7D"/>
    <w:rsid w:val="00607D6C"/>
    <w:rsid w:val="006102DB"/>
    <w:rsid w:val="00612F5B"/>
    <w:rsid w:val="006139EA"/>
    <w:rsid w:val="00614F1B"/>
    <w:rsid w:val="0061600E"/>
    <w:rsid w:val="00616E2D"/>
    <w:rsid w:val="006211D4"/>
    <w:rsid w:val="00623942"/>
    <w:rsid w:val="0062509C"/>
    <w:rsid w:val="00631CE7"/>
    <w:rsid w:val="006320C8"/>
    <w:rsid w:val="00637F9C"/>
    <w:rsid w:val="00640C99"/>
    <w:rsid w:val="0064248C"/>
    <w:rsid w:val="00642D29"/>
    <w:rsid w:val="006461B8"/>
    <w:rsid w:val="00653B22"/>
    <w:rsid w:val="00654E31"/>
    <w:rsid w:val="006559C9"/>
    <w:rsid w:val="00656AA9"/>
    <w:rsid w:val="00656AD5"/>
    <w:rsid w:val="00656DDF"/>
    <w:rsid w:val="00664572"/>
    <w:rsid w:val="006648E8"/>
    <w:rsid w:val="006653C5"/>
    <w:rsid w:val="00666701"/>
    <w:rsid w:val="0067100E"/>
    <w:rsid w:val="00671D37"/>
    <w:rsid w:val="00672D53"/>
    <w:rsid w:val="00674B2B"/>
    <w:rsid w:val="0067599C"/>
    <w:rsid w:val="00676B11"/>
    <w:rsid w:val="00677B67"/>
    <w:rsid w:val="00677F6D"/>
    <w:rsid w:val="0068047F"/>
    <w:rsid w:val="00681FBC"/>
    <w:rsid w:val="00682EE0"/>
    <w:rsid w:val="00683CFF"/>
    <w:rsid w:val="00685C58"/>
    <w:rsid w:val="00687534"/>
    <w:rsid w:val="00691CF0"/>
    <w:rsid w:val="00691F21"/>
    <w:rsid w:val="00692C81"/>
    <w:rsid w:val="00695776"/>
    <w:rsid w:val="00695D25"/>
    <w:rsid w:val="006B0F33"/>
    <w:rsid w:val="006B4654"/>
    <w:rsid w:val="006B521F"/>
    <w:rsid w:val="006B6FD3"/>
    <w:rsid w:val="006C0F5E"/>
    <w:rsid w:val="006C2315"/>
    <w:rsid w:val="006C54D7"/>
    <w:rsid w:val="006C5706"/>
    <w:rsid w:val="006C7223"/>
    <w:rsid w:val="006C750A"/>
    <w:rsid w:val="006C7CE5"/>
    <w:rsid w:val="006D5195"/>
    <w:rsid w:val="006D6642"/>
    <w:rsid w:val="006D75C3"/>
    <w:rsid w:val="006E0924"/>
    <w:rsid w:val="006E29DD"/>
    <w:rsid w:val="006E3071"/>
    <w:rsid w:val="006E55C9"/>
    <w:rsid w:val="006E6AFA"/>
    <w:rsid w:val="007005A1"/>
    <w:rsid w:val="00704B6F"/>
    <w:rsid w:val="0070731E"/>
    <w:rsid w:val="007101CA"/>
    <w:rsid w:val="00711F65"/>
    <w:rsid w:val="00713D21"/>
    <w:rsid w:val="007153C2"/>
    <w:rsid w:val="0072054F"/>
    <w:rsid w:val="00721BCB"/>
    <w:rsid w:val="00721E2D"/>
    <w:rsid w:val="00722FB2"/>
    <w:rsid w:val="007347B0"/>
    <w:rsid w:val="00737DF5"/>
    <w:rsid w:val="0074184D"/>
    <w:rsid w:val="0074313C"/>
    <w:rsid w:val="0074333D"/>
    <w:rsid w:val="007456A9"/>
    <w:rsid w:val="0074576E"/>
    <w:rsid w:val="0075202A"/>
    <w:rsid w:val="00752AC1"/>
    <w:rsid w:val="007533FB"/>
    <w:rsid w:val="00757FD1"/>
    <w:rsid w:val="00761038"/>
    <w:rsid w:val="007611BB"/>
    <w:rsid w:val="00761A73"/>
    <w:rsid w:val="00765C06"/>
    <w:rsid w:val="00766087"/>
    <w:rsid w:val="00766379"/>
    <w:rsid w:val="00767590"/>
    <w:rsid w:val="007739D0"/>
    <w:rsid w:val="00774E5B"/>
    <w:rsid w:val="007773F6"/>
    <w:rsid w:val="007842BA"/>
    <w:rsid w:val="00786F3F"/>
    <w:rsid w:val="00792B5B"/>
    <w:rsid w:val="00795555"/>
    <w:rsid w:val="00797F1C"/>
    <w:rsid w:val="007A1307"/>
    <w:rsid w:val="007A153E"/>
    <w:rsid w:val="007A53D3"/>
    <w:rsid w:val="007A54B0"/>
    <w:rsid w:val="007A5D44"/>
    <w:rsid w:val="007B4CA4"/>
    <w:rsid w:val="007B5903"/>
    <w:rsid w:val="007B65D4"/>
    <w:rsid w:val="007C160E"/>
    <w:rsid w:val="007C37C8"/>
    <w:rsid w:val="007C4D84"/>
    <w:rsid w:val="007D307F"/>
    <w:rsid w:val="007D34A0"/>
    <w:rsid w:val="007D5F2E"/>
    <w:rsid w:val="007D762A"/>
    <w:rsid w:val="007E22C4"/>
    <w:rsid w:val="007E35A5"/>
    <w:rsid w:val="007F2802"/>
    <w:rsid w:val="007F28FF"/>
    <w:rsid w:val="007F5F1C"/>
    <w:rsid w:val="007F716D"/>
    <w:rsid w:val="007F73D2"/>
    <w:rsid w:val="00822758"/>
    <w:rsid w:val="00825BD5"/>
    <w:rsid w:val="008275A8"/>
    <w:rsid w:val="00831527"/>
    <w:rsid w:val="008331BC"/>
    <w:rsid w:val="00840347"/>
    <w:rsid w:val="00840A88"/>
    <w:rsid w:val="00841E1F"/>
    <w:rsid w:val="0084417D"/>
    <w:rsid w:val="0084510B"/>
    <w:rsid w:val="008451CC"/>
    <w:rsid w:val="008457AA"/>
    <w:rsid w:val="00845B8F"/>
    <w:rsid w:val="008612AD"/>
    <w:rsid w:val="0086273E"/>
    <w:rsid w:val="008630DD"/>
    <w:rsid w:val="00864EDA"/>
    <w:rsid w:val="00866170"/>
    <w:rsid w:val="008704A1"/>
    <w:rsid w:val="0087069A"/>
    <w:rsid w:val="00871787"/>
    <w:rsid w:val="0087416D"/>
    <w:rsid w:val="00874C93"/>
    <w:rsid w:val="00876590"/>
    <w:rsid w:val="0087677E"/>
    <w:rsid w:val="00881798"/>
    <w:rsid w:val="00884DA4"/>
    <w:rsid w:val="0088633E"/>
    <w:rsid w:val="00886D77"/>
    <w:rsid w:val="008963B1"/>
    <w:rsid w:val="008A073A"/>
    <w:rsid w:val="008A4439"/>
    <w:rsid w:val="008A591F"/>
    <w:rsid w:val="008A6B7C"/>
    <w:rsid w:val="008A7B60"/>
    <w:rsid w:val="008B0A01"/>
    <w:rsid w:val="008B0D68"/>
    <w:rsid w:val="008B220A"/>
    <w:rsid w:val="008B479F"/>
    <w:rsid w:val="008B50B3"/>
    <w:rsid w:val="008B5B75"/>
    <w:rsid w:val="008B7468"/>
    <w:rsid w:val="008C2587"/>
    <w:rsid w:val="008C2759"/>
    <w:rsid w:val="008C3EAB"/>
    <w:rsid w:val="008C401E"/>
    <w:rsid w:val="008C6C30"/>
    <w:rsid w:val="008D3DF6"/>
    <w:rsid w:val="008D4992"/>
    <w:rsid w:val="008D51AC"/>
    <w:rsid w:val="008D586C"/>
    <w:rsid w:val="008E3481"/>
    <w:rsid w:val="008E4983"/>
    <w:rsid w:val="008F01CD"/>
    <w:rsid w:val="008F14D5"/>
    <w:rsid w:val="008F29E6"/>
    <w:rsid w:val="008F415D"/>
    <w:rsid w:val="008F480E"/>
    <w:rsid w:val="008F6B16"/>
    <w:rsid w:val="009000AE"/>
    <w:rsid w:val="00901935"/>
    <w:rsid w:val="00901A50"/>
    <w:rsid w:val="00905F58"/>
    <w:rsid w:val="00907AEB"/>
    <w:rsid w:val="0092163A"/>
    <w:rsid w:val="00921EBD"/>
    <w:rsid w:val="00930E6C"/>
    <w:rsid w:val="00930EB4"/>
    <w:rsid w:val="009333F0"/>
    <w:rsid w:val="0093340B"/>
    <w:rsid w:val="00934BE9"/>
    <w:rsid w:val="009358E8"/>
    <w:rsid w:val="00937A3D"/>
    <w:rsid w:val="009412C0"/>
    <w:rsid w:val="009421A1"/>
    <w:rsid w:val="009429CB"/>
    <w:rsid w:val="0094330B"/>
    <w:rsid w:val="0094474E"/>
    <w:rsid w:val="00944F2D"/>
    <w:rsid w:val="00945E71"/>
    <w:rsid w:val="00947FDE"/>
    <w:rsid w:val="0095531B"/>
    <w:rsid w:val="00956966"/>
    <w:rsid w:val="00966600"/>
    <w:rsid w:val="00973BB2"/>
    <w:rsid w:val="00980B4C"/>
    <w:rsid w:val="0098232F"/>
    <w:rsid w:val="009844B8"/>
    <w:rsid w:val="0098502C"/>
    <w:rsid w:val="00986361"/>
    <w:rsid w:val="009879D6"/>
    <w:rsid w:val="00990B74"/>
    <w:rsid w:val="0099720B"/>
    <w:rsid w:val="009A02D9"/>
    <w:rsid w:val="009A4EEB"/>
    <w:rsid w:val="009A4FF2"/>
    <w:rsid w:val="009A7D03"/>
    <w:rsid w:val="009B129C"/>
    <w:rsid w:val="009B2077"/>
    <w:rsid w:val="009B2AA1"/>
    <w:rsid w:val="009B2E24"/>
    <w:rsid w:val="009B4CEC"/>
    <w:rsid w:val="009B5EF9"/>
    <w:rsid w:val="009B5FA7"/>
    <w:rsid w:val="009C0F45"/>
    <w:rsid w:val="009C1650"/>
    <w:rsid w:val="009C6581"/>
    <w:rsid w:val="009C6F0F"/>
    <w:rsid w:val="009D2137"/>
    <w:rsid w:val="009D2366"/>
    <w:rsid w:val="009E3EB6"/>
    <w:rsid w:val="009E6AFC"/>
    <w:rsid w:val="009F3B4E"/>
    <w:rsid w:val="009F542F"/>
    <w:rsid w:val="009F55F3"/>
    <w:rsid w:val="009F5891"/>
    <w:rsid w:val="00A038F3"/>
    <w:rsid w:val="00A04781"/>
    <w:rsid w:val="00A10B3B"/>
    <w:rsid w:val="00A12EF1"/>
    <w:rsid w:val="00A134C0"/>
    <w:rsid w:val="00A13651"/>
    <w:rsid w:val="00A1399A"/>
    <w:rsid w:val="00A139C2"/>
    <w:rsid w:val="00A146F8"/>
    <w:rsid w:val="00A21786"/>
    <w:rsid w:val="00A244EB"/>
    <w:rsid w:val="00A35EE2"/>
    <w:rsid w:val="00A36B58"/>
    <w:rsid w:val="00A40C0A"/>
    <w:rsid w:val="00A417BB"/>
    <w:rsid w:val="00A44581"/>
    <w:rsid w:val="00A45281"/>
    <w:rsid w:val="00A4555C"/>
    <w:rsid w:val="00A457DC"/>
    <w:rsid w:val="00A5136D"/>
    <w:rsid w:val="00A55631"/>
    <w:rsid w:val="00A55CC3"/>
    <w:rsid w:val="00A55F26"/>
    <w:rsid w:val="00A5721A"/>
    <w:rsid w:val="00A60F9B"/>
    <w:rsid w:val="00A63508"/>
    <w:rsid w:val="00A651C3"/>
    <w:rsid w:val="00A65BA7"/>
    <w:rsid w:val="00A71443"/>
    <w:rsid w:val="00A7385A"/>
    <w:rsid w:val="00A74460"/>
    <w:rsid w:val="00A7477A"/>
    <w:rsid w:val="00A755DB"/>
    <w:rsid w:val="00A76EB8"/>
    <w:rsid w:val="00A80131"/>
    <w:rsid w:val="00A8114E"/>
    <w:rsid w:val="00A81350"/>
    <w:rsid w:val="00A81600"/>
    <w:rsid w:val="00A82A48"/>
    <w:rsid w:val="00A82B57"/>
    <w:rsid w:val="00A85E10"/>
    <w:rsid w:val="00A918E1"/>
    <w:rsid w:val="00A965C0"/>
    <w:rsid w:val="00A97871"/>
    <w:rsid w:val="00AA018F"/>
    <w:rsid w:val="00AA253D"/>
    <w:rsid w:val="00AA29F5"/>
    <w:rsid w:val="00AB24DB"/>
    <w:rsid w:val="00AB2F62"/>
    <w:rsid w:val="00AB5FC2"/>
    <w:rsid w:val="00AC1C25"/>
    <w:rsid w:val="00AC1C9A"/>
    <w:rsid w:val="00AC3D95"/>
    <w:rsid w:val="00AC5787"/>
    <w:rsid w:val="00AD10A8"/>
    <w:rsid w:val="00AD2918"/>
    <w:rsid w:val="00AD534F"/>
    <w:rsid w:val="00AD5DB7"/>
    <w:rsid w:val="00AE0248"/>
    <w:rsid w:val="00AE090E"/>
    <w:rsid w:val="00AE25B3"/>
    <w:rsid w:val="00AE4651"/>
    <w:rsid w:val="00AE69A8"/>
    <w:rsid w:val="00AF3A10"/>
    <w:rsid w:val="00AF4A8C"/>
    <w:rsid w:val="00AF5095"/>
    <w:rsid w:val="00AF7527"/>
    <w:rsid w:val="00B02496"/>
    <w:rsid w:val="00B10393"/>
    <w:rsid w:val="00B118DE"/>
    <w:rsid w:val="00B12EC3"/>
    <w:rsid w:val="00B151C5"/>
    <w:rsid w:val="00B15F5E"/>
    <w:rsid w:val="00B17F04"/>
    <w:rsid w:val="00B20BB1"/>
    <w:rsid w:val="00B24EFF"/>
    <w:rsid w:val="00B31AC6"/>
    <w:rsid w:val="00B32999"/>
    <w:rsid w:val="00B34DBF"/>
    <w:rsid w:val="00B3599E"/>
    <w:rsid w:val="00B362A4"/>
    <w:rsid w:val="00B36CB6"/>
    <w:rsid w:val="00B40542"/>
    <w:rsid w:val="00B410B0"/>
    <w:rsid w:val="00B42BF4"/>
    <w:rsid w:val="00B431D8"/>
    <w:rsid w:val="00B53335"/>
    <w:rsid w:val="00B567AC"/>
    <w:rsid w:val="00B61A84"/>
    <w:rsid w:val="00B6296F"/>
    <w:rsid w:val="00B62FBD"/>
    <w:rsid w:val="00B64714"/>
    <w:rsid w:val="00B64940"/>
    <w:rsid w:val="00B65EBC"/>
    <w:rsid w:val="00B67501"/>
    <w:rsid w:val="00B7398E"/>
    <w:rsid w:val="00B75633"/>
    <w:rsid w:val="00B77F1B"/>
    <w:rsid w:val="00B83A5F"/>
    <w:rsid w:val="00B841D1"/>
    <w:rsid w:val="00B90725"/>
    <w:rsid w:val="00B910D4"/>
    <w:rsid w:val="00B93873"/>
    <w:rsid w:val="00B943BF"/>
    <w:rsid w:val="00B974F9"/>
    <w:rsid w:val="00BA24B7"/>
    <w:rsid w:val="00BA367D"/>
    <w:rsid w:val="00BA3A92"/>
    <w:rsid w:val="00BA51BB"/>
    <w:rsid w:val="00BA6020"/>
    <w:rsid w:val="00BA7F91"/>
    <w:rsid w:val="00BB0431"/>
    <w:rsid w:val="00BB4742"/>
    <w:rsid w:val="00BB6054"/>
    <w:rsid w:val="00BC3B20"/>
    <w:rsid w:val="00BC5966"/>
    <w:rsid w:val="00BC79D9"/>
    <w:rsid w:val="00BD0735"/>
    <w:rsid w:val="00BD1D6A"/>
    <w:rsid w:val="00BD248A"/>
    <w:rsid w:val="00BD4B6C"/>
    <w:rsid w:val="00BD5903"/>
    <w:rsid w:val="00BD61CD"/>
    <w:rsid w:val="00BD650C"/>
    <w:rsid w:val="00BD7C2A"/>
    <w:rsid w:val="00BE003F"/>
    <w:rsid w:val="00BE522A"/>
    <w:rsid w:val="00BE58CF"/>
    <w:rsid w:val="00BE7914"/>
    <w:rsid w:val="00BF2B1E"/>
    <w:rsid w:val="00BF4959"/>
    <w:rsid w:val="00BF73AE"/>
    <w:rsid w:val="00C050C1"/>
    <w:rsid w:val="00C070AD"/>
    <w:rsid w:val="00C113E5"/>
    <w:rsid w:val="00C11FA5"/>
    <w:rsid w:val="00C14A50"/>
    <w:rsid w:val="00C15429"/>
    <w:rsid w:val="00C23440"/>
    <w:rsid w:val="00C23A22"/>
    <w:rsid w:val="00C2636A"/>
    <w:rsid w:val="00C269DF"/>
    <w:rsid w:val="00C27E91"/>
    <w:rsid w:val="00C30D30"/>
    <w:rsid w:val="00C43D04"/>
    <w:rsid w:val="00C4446A"/>
    <w:rsid w:val="00C4469B"/>
    <w:rsid w:val="00C44E4C"/>
    <w:rsid w:val="00C450B4"/>
    <w:rsid w:val="00C456FD"/>
    <w:rsid w:val="00C5207E"/>
    <w:rsid w:val="00C526D4"/>
    <w:rsid w:val="00C6245C"/>
    <w:rsid w:val="00C65240"/>
    <w:rsid w:val="00C70ACE"/>
    <w:rsid w:val="00C7432E"/>
    <w:rsid w:val="00C74A44"/>
    <w:rsid w:val="00C80373"/>
    <w:rsid w:val="00C82729"/>
    <w:rsid w:val="00C84E2E"/>
    <w:rsid w:val="00C860E5"/>
    <w:rsid w:val="00C87A80"/>
    <w:rsid w:val="00C90A99"/>
    <w:rsid w:val="00C93261"/>
    <w:rsid w:val="00C95163"/>
    <w:rsid w:val="00C9649F"/>
    <w:rsid w:val="00CA0174"/>
    <w:rsid w:val="00CA21D4"/>
    <w:rsid w:val="00CA3176"/>
    <w:rsid w:val="00CA378E"/>
    <w:rsid w:val="00CA46D4"/>
    <w:rsid w:val="00CA5DEC"/>
    <w:rsid w:val="00CB2B8C"/>
    <w:rsid w:val="00CB35E9"/>
    <w:rsid w:val="00CB5D00"/>
    <w:rsid w:val="00CB6021"/>
    <w:rsid w:val="00CB6569"/>
    <w:rsid w:val="00CB7523"/>
    <w:rsid w:val="00CC1459"/>
    <w:rsid w:val="00CC3A1B"/>
    <w:rsid w:val="00CC6B7E"/>
    <w:rsid w:val="00CC7087"/>
    <w:rsid w:val="00CD0ACA"/>
    <w:rsid w:val="00CD4587"/>
    <w:rsid w:val="00CD76C6"/>
    <w:rsid w:val="00CE33C5"/>
    <w:rsid w:val="00CE3607"/>
    <w:rsid w:val="00CE3F65"/>
    <w:rsid w:val="00CF3B70"/>
    <w:rsid w:val="00CF5A47"/>
    <w:rsid w:val="00D026CB"/>
    <w:rsid w:val="00D06CE0"/>
    <w:rsid w:val="00D06F0C"/>
    <w:rsid w:val="00D11DF9"/>
    <w:rsid w:val="00D12F11"/>
    <w:rsid w:val="00D16DE1"/>
    <w:rsid w:val="00D1773C"/>
    <w:rsid w:val="00D206D5"/>
    <w:rsid w:val="00D20BCD"/>
    <w:rsid w:val="00D21D89"/>
    <w:rsid w:val="00D23F1A"/>
    <w:rsid w:val="00D2471F"/>
    <w:rsid w:val="00D26019"/>
    <w:rsid w:val="00D30CB4"/>
    <w:rsid w:val="00D313A7"/>
    <w:rsid w:val="00D3237D"/>
    <w:rsid w:val="00D3381E"/>
    <w:rsid w:val="00D37118"/>
    <w:rsid w:val="00D41C97"/>
    <w:rsid w:val="00D42C1B"/>
    <w:rsid w:val="00D4609F"/>
    <w:rsid w:val="00D508C1"/>
    <w:rsid w:val="00D535D3"/>
    <w:rsid w:val="00D53ADE"/>
    <w:rsid w:val="00D55D1C"/>
    <w:rsid w:val="00D603CA"/>
    <w:rsid w:val="00D61696"/>
    <w:rsid w:val="00D63B17"/>
    <w:rsid w:val="00D666C4"/>
    <w:rsid w:val="00D72655"/>
    <w:rsid w:val="00D72FB5"/>
    <w:rsid w:val="00D745D8"/>
    <w:rsid w:val="00D74710"/>
    <w:rsid w:val="00D74A07"/>
    <w:rsid w:val="00D74A2D"/>
    <w:rsid w:val="00D75611"/>
    <w:rsid w:val="00D76219"/>
    <w:rsid w:val="00D7742D"/>
    <w:rsid w:val="00D77BA0"/>
    <w:rsid w:val="00D80D0C"/>
    <w:rsid w:val="00D84691"/>
    <w:rsid w:val="00D84FD2"/>
    <w:rsid w:val="00D876EC"/>
    <w:rsid w:val="00D90984"/>
    <w:rsid w:val="00D92212"/>
    <w:rsid w:val="00D9288B"/>
    <w:rsid w:val="00D96727"/>
    <w:rsid w:val="00D97059"/>
    <w:rsid w:val="00D9750F"/>
    <w:rsid w:val="00DA1A4B"/>
    <w:rsid w:val="00DA1F31"/>
    <w:rsid w:val="00DB0CED"/>
    <w:rsid w:val="00DB6792"/>
    <w:rsid w:val="00DB7CEC"/>
    <w:rsid w:val="00DB7FBE"/>
    <w:rsid w:val="00DC002B"/>
    <w:rsid w:val="00DC0119"/>
    <w:rsid w:val="00DC05B3"/>
    <w:rsid w:val="00DC1AD4"/>
    <w:rsid w:val="00DC5349"/>
    <w:rsid w:val="00DD2C77"/>
    <w:rsid w:val="00DD340C"/>
    <w:rsid w:val="00DD4EAA"/>
    <w:rsid w:val="00DE1DCF"/>
    <w:rsid w:val="00DE4FA6"/>
    <w:rsid w:val="00DF1209"/>
    <w:rsid w:val="00DF2113"/>
    <w:rsid w:val="00DF6E9D"/>
    <w:rsid w:val="00DF7940"/>
    <w:rsid w:val="00E0158D"/>
    <w:rsid w:val="00E07A1E"/>
    <w:rsid w:val="00E10CE6"/>
    <w:rsid w:val="00E11EF8"/>
    <w:rsid w:val="00E13C2B"/>
    <w:rsid w:val="00E14F80"/>
    <w:rsid w:val="00E16BB2"/>
    <w:rsid w:val="00E20D18"/>
    <w:rsid w:val="00E215CF"/>
    <w:rsid w:val="00E22A95"/>
    <w:rsid w:val="00E237C2"/>
    <w:rsid w:val="00E2576A"/>
    <w:rsid w:val="00E26482"/>
    <w:rsid w:val="00E302DD"/>
    <w:rsid w:val="00E3201F"/>
    <w:rsid w:val="00E322DC"/>
    <w:rsid w:val="00E32B27"/>
    <w:rsid w:val="00E32CD2"/>
    <w:rsid w:val="00E32FBB"/>
    <w:rsid w:val="00E3317E"/>
    <w:rsid w:val="00E3383E"/>
    <w:rsid w:val="00E33FFF"/>
    <w:rsid w:val="00E343C5"/>
    <w:rsid w:val="00E34BF9"/>
    <w:rsid w:val="00E42E25"/>
    <w:rsid w:val="00E47BA3"/>
    <w:rsid w:val="00E51DAB"/>
    <w:rsid w:val="00E53E9E"/>
    <w:rsid w:val="00E53F22"/>
    <w:rsid w:val="00E5626C"/>
    <w:rsid w:val="00E565AE"/>
    <w:rsid w:val="00E604EB"/>
    <w:rsid w:val="00E621E4"/>
    <w:rsid w:val="00E63D57"/>
    <w:rsid w:val="00E65D7A"/>
    <w:rsid w:val="00E70877"/>
    <w:rsid w:val="00E71C57"/>
    <w:rsid w:val="00E76304"/>
    <w:rsid w:val="00E76700"/>
    <w:rsid w:val="00E94036"/>
    <w:rsid w:val="00EA42E4"/>
    <w:rsid w:val="00EA5438"/>
    <w:rsid w:val="00EA64AD"/>
    <w:rsid w:val="00EA72C7"/>
    <w:rsid w:val="00EA791F"/>
    <w:rsid w:val="00EA7BAD"/>
    <w:rsid w:val="00EA7DCD"/>
    <w:rsid w:val="00EB3B59"/>
    <w:rsid w:val="00EB63F6"/>
    <w:rsid w:val="00EB6E14"/>
    <w:rsid w:val="00EC150B"/>
    <w:rsid w:val="00EC30E5"/>
    <w:rsid w:val="00EC556C"/>
    <w:rsid w:val="00EC603A"/>
    <w:rsid w:val="00EC76E1"/>
    <w:rsid w:val="00ED2550"/>
    <w:rsid w:val="00ED764C"/>
    <w:rsid w:val="00EE4D90"/>
    <w:rsid w:val="00EE4E2E"/>
    <w:rsid w:val="00EE7799"/>
    <w:rsid w:val="00EF02F1"/>
    <w:rsid w:val="00EF09B8"/>
    <w:rsid w:val="00EF2BDF"/>
    <w:rsid w:val="00EF4783"/>
    <w:rsid w:val="00EF4ECF"/>
    <w:rsid w:val="00EF78E8"/>
    <w:rsid w:val="00F002C2"/>
    <w:rsid w:val="00F00F93"/>
    <w:rsid w:val="00F02CD0"/>
    <w:rsid w:val="00F0620D"/>
    <w:rsid w:val="00F072A0"/>
    <w:rsid w:val="00F10530"/>
    <w:rsid w:val="00F124D3"/>
    <w:rsid w:val="00F145A2"/>
    <w:rsid w:val="00F14724"/>
    <w:rsid w:val="00F14A9D"/>
    <w:rsid w:val="00F17B48"/>
    <w:rsid w:val="00F23B50"/>
    <w:rsid w:val="00F24B25"/>
    <w:rsid w:val="00F2613B"/>
    <w:rsid w:val="00F26AEC"/>
    <w:rsid w:val="00F27A53"/>
    <w:rsid w:val="00F32D9E"/>
    <w:rsid w:val="00F33D5A"/>
    <w:rsid w:val="00F347F1"/>
    <w:rsid w:val="00F34BF5"/>
    <w:rsid w:val="00F34D0E"/>
    <w:rsid w:val="00F368EA"/>
    <w:rsid w:val="00F3754B"/>
    <w:rsid w:val="00F37A74"/>
    <w:rsid w:val="00F37F5D"/>
    <w:rsid w:val="00F40326"/>
    <w:rsid w:val="00F41B4D"/>
    <w:rsid w:val="00F41C5C"/>
    <w:rsid w:val="00F467F5"/>
    <w:rsid w:val="00F50048"/>
    <w:rsid w:val="00F512AE"/>
    <w:rsid w:val="00F51D75"/>
    <w:rsid w:val="00F53006"/>
    <w:rsid w:val="00F54B0F"/>
    <w:rsid w:val="00F55211"/>
    <w:rsid w:val="00F61808"/>
    <w:rsid w:val="00F62EFE"/>
    <w:rsid w:val="00F6549E"/>
    <w:rsid w:val="00F65533"/>
    <w:rsid w:val="00F660E1"/>
    <w:rsid w:val="00F672EE"/>
    <w:rsid w:val="00F71A0B"/>
    <w:rsid w:val="00F72F79"/>
    <w:rsid w:val="00F72F86"/>
    <w:rsid w:val="00F81C5F"/>
    <w:rsid w:val="00F81F4A"/>
    <w:rsid w:val="00F90A93"/>
    <w:rsid w:val="00F9374B"/>
    <w:rsid w:val="00F9716F"/>
    <w:rsid w:val="00FA2E23"/>
    <w:rsid w:val="00FA36B3"/>
    <w:rsid w:val="00FA4476"/>
    <w:rsid w:val="00FA72F7"/>
    <w:rsid w:val="00FB077E"/>
    <w:rsid w:val="00FB086A"/>
    <w:rsid w:val="00FC0CDE"/>
    <w:rsid w:val="00FC15EA"/>
    <w:rsid w:val="00FC5E8C"/>
    <w:rsid w:val="00FC6CC4"/>
    <w:rsid w:val="00FC747E"/>
    <w:rsid w:val="00FC764B"/>
    <w:rsid w:val="00FD03AF"/>
    <w:rsid w:val="00FD0E6D"/>
    <w:rsid w:val="00FD77A4"/>
    <w:rsid w:val="00FE0815"/>
    <w:rsid w:val="00FE56C3"/>
    <w:rsid w:val="00FE6DB7"/>
    <w:rsid w:val="00FE740A"/>
    <w:rsid w:val="00FF1474"/>
    <w:rsid w:val="00FF3A58"/>
    <w:rsid w:val="00FF4A3A"/>
    <w:rsid w:val="00FF55E3"/>
    <w:rsid w:val="00FF62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0DC3C9"/>
  <w15:chartTrackingRefBased/>
  <w15:docId w15:val="{7EBDAC31-03DF-44E0-820E-785AB100E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AC1"/>
    <w:rPr>
      <w:spacing w:val="-3"/>
      <w:sz w:val="24"/>
    </w:rPr>
  </w:style>
  <w:style w:type="paragraph" w:styleId="Heading1">
    <w:name w:val="heading 1"/>
    <w:basedOn w:val="Normal"/>
    <w:next w:val="Normal2"/>
    <w:link w:val="Heading1Char"/>
    <w:autoRedefine/>
    <w:qFormat/>
    <w:rsid w:val="00E47BA3"/>
    <w:pPr>
      <w:keepNext/>
      <w:widowControl w:val="0"/>
      <w:autoSpaceDE w:val="0"/>
      <w:autoSpaceDN w:val="0"/>
      <w:adjustRightInd w:val="0"/>
      <w:spacing w:before="240" w:after="240"/>
      <w:jc w:val="both"/>
      <w:outlineLvl w:val="0"/>
    </w:pPr>
    <w:rPr>
      <w:rFonts w:cs="Arial"/>
      <w:b/>
      <w:bCs/>
      <w:kern w:val="32"/>
      <w:szCs w:val="32"/>
    </w:rPr>
  </w:style>
  <w:style w:type="paragraph" w:styleId="Heading2">
    <w:name w:val="heading 2"/>
    <w:basedOn w:val="Normal"/>
    <w:next w:val="Normal2"/>
    <w:link w:val="Heading2Char"/>
    <w:autoRedefine/>
    <w:qFormat/>
    <w:rsid w:val="000F0219"/>
    <w:pPr>
      <w:keepNext/>
      <w:widowControl w:val="0"/>
      <w:autoSpaceDE w:val="0"/>
      <w:autoSpaceDN w:val="0"/>
      <w:adjustRightInd w:val="0"/>
      <w:spacing w:before="240" w:after="480"/>
      <w:ind w:left="726"/>
      <w:jc w:val="both"/>
      <w:outlineLvl w:val="1"/>
    </w:pPr>
    <w:rPr>
      <w:rFonts w:cs="Arial"/>
      <w:b/>
      <w:bCs/>
      <w:i/>
      <w:iCs/>
      <w:szCs w:val="28"/>
    </w:rPr>
  </w:style>
  <w:style w:type="paragraph" w:styleId="Heading3">
    <w:name w:val="heading 3"/>
    <w:basedOn w:val="Normal"/>
    <w:next w:val="Normal2"/>
    <w:link w:val="Heading3Char"/>
    <w:autoRedefine/>
    <w:qFormat/>
    <w:rsid w:val="004E2308"/>
    <w:pPr>
      <w:keepNext/>
      <w:spacing w:before="240" w:after="240"/>
      <w:ind w:left="1440"/>
      <w:outlineLvl w:val="2"/>
    </w:pPr>
    <w:rPr>
      <w:b/>
    </w:rPr>
  </w:style>
  <w:style w:type="paragraph" w:styleId="Heading4">
    <w:name w:val="heading 4"/>
    <w:basedOn w:val="Normal"/>
    <w:next w:val="Normal2"/>
    <w:link w:val="Heading4Char"/>
    <w:autoRedefine/>
    <w:qFormat/>
    <w:rsid w:val="005A15E5"/>
    <w:pPr>
      <w:keepNext/>
      <w:spacing w:before="120" w:after="120"/>
      <w:ind w:left="2126"/>
      <w:outlineLvl w:val="3"/>
    </w:pPr>
    <w:rPr>
      <w:rFonts w:asciiTheme="minorHAnsi" w:hAnsiTheme="minorHAnsi" w:cstheme="minorBidi"/>
      <w:b/>
      <w:i/>
      <w:szCs w:val="22"/>
    </w:rPr>
  </w:style>
  <w:style w:type="paragraph" w:styleId="Heading5">
    <w:name w:val="heading 5"/>
    <w:basedOn w:val="Normal"/>
    <w:next w:val="Normal"/>
    <w:link w:val="Heading5Char"/>
    <w:qFormat/>
    <w:rsid w:val="004E2308"/>
    <w:pPr>
      <w:numPr>
        <w:ilvl w:val="4"/>
        <w:numId w:val="6"/>
      </w:numPr>
      <w:spacing w:before="240"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
    <w:name w:val="Normal2"/>
    <w:basedOn w:val="Normal"/>
    <w:qFormat/>
    <w:rsid w:val="004E2308"/>
    <w:pPr>
      <w:spacing w:before="120" w:after="120"/>
      <w:jc w:val="both"/>
    </w:pPr>
  </w:style>
  <w:style w:type="paragraph" w:customStyle="1" w:styleId="Consult">
    <w:name w:val="Consult"/>
    <w:basedOn w:val="Normal2"/>
    <w:next w:val="Normal2"/>
    <w:rsid w:val="004E2308"/>
    <w:pPr>
      <w:ind w:left="720" w:hanging="720"/>
    </w:pPr>
    <w:rPr>
      <w:rFonts w:ascii="Arial" w:hAnsi="Arial"/>
    </w:rPr>
  </w:style>
  <w:style w:type="paragraph" w:customStyle="1" w:styleId="Consult2">
    <w:name w:val="Consult2"/>
    <w:basedOn w:val="Consult"/>
    <w:next w:val="Normal2"/>
    <w:autoRedefine/>
    <w:rsid w:val="004E2308"/>
    <w:pPr>
      <w:ind w:firstLine="0"/>
    </w:pPr>
    <w:rPr>
      <w:sz w:val="20"/>
    </w:rPr>
  </w:style>
  <w:style w:type="paragraph" w:styleId="Footer">
    <w:name w:val="footer"/>
    <w:basedOn w:val="Normal"/>
    <w:link w:val="FooterChar"/>
    <w:uiPriority w:val="99"/>
    <w:rsid w:val="004E2308"/>
    <w:pPr>
      <w:tabs>
        <w:tab w:val="center" w:pos="4320"/>
        <w:tab w:val="right" w:pos="8640"/>
      </w:tabs>
    </w:pPr>
  </w:style>
  <w:style w:type="character" w:customStyle="1" w:styleId="FooterChar">
    <w:name w:val="Footer Char"/>
    <w:basedOn w:val="DefaultParagraphFont"/>
    <w:link w:val="Footer"/>
    <w:uiPriority w:val="99"/>
    <w:rsid w:val="002C5BC8"/>
    <w:rPr>
      <w:rFonts w:ascii="Times New Roman" w:hAnsi="Times New Roman" w:cs="Times New Roman"/>
      <w:sz w:val="24"/>
      <w:szCs w:val="20"/>
      <w:lang w:eastAsia="en-GB"/>
    </w:rPr>
  </w:style>
  <w:style w:type="paragraph" w:styleId="Header">
    <w:name w:val="header"/>
    <w:basedOn w:val="Normal"/>
    <w:link w:val="HeaderChar"/>
    <w:rsid w:val="004E2308"/>
    <w:pPr>
      <w:tabs>
        <w:tab w:val="center" w:pos="4320"/>
        <w:tab w:val="right" w:pos="8640"/>
      </w:tabs>
    </w:pPr>
  </w:style>
  <w:style w:type="character" w:customStyle="1" w:styleId="HeaderChar">
    <w:name w:val="Header Char"/>
    <w:basedOn w:val="DefaultParagraphFont"/>
    <w:link w:val="Header"/>
    <w:rsid w:val="002C5BC8"/>
    <w:rPr>
      <w:rFonts w:ascii="Times New Roman" w:hAnsi="Times New Roman" w:cs="Times New Roman"/>
      <w:sz w:val="24"/>
      <w:szCs w:val="20"/>
      <w:lang w:eastAsia="en-GB"/>
    </w:rPr>
  </w:style>
  <w:style w:type="character" w:customStyle="1" w:styleId="Heading1Char">
    <w:name w:val="Heading 1 Char"/>
    <w:basedOn w:val="DefaultParagraphFont"/>
    <w:link w:val="Heading1"/>
    <w:rsid w:val="00E47BA3"/>
    <w:rPr>
      <w:rFonts w:cs="Arial"/>
      <w:b/>
      <w:bCs/>
      <w:spacing w:val="-3"/>
      <w:kern w:val="32"/>
      <w:sz w:val="24"/>
      <w:szCs w:val="32"/>
    </w:rPr>
  </w:style>
  <w:style w:type="character" w:customStyle="1" w:styleId="Heading2Char">
    <w:name w:val="Heading 2 Char"/>
    <w:basedOn w:val="DefaultParagraphFont"/>
    <w:link w:val="Heading2"/>
    <w:rsid w:val="000F0219"/>
    <w:rPr>
      <w:rFonts w:cs="Arial"/>
      <w:b/>
      <w:bCs/>
      <w:i/>
      <w:iCs/>
      <w:spacing w:val="-3"/>
      <w:sz w:val="24"/>
      <w:szCs w:val="28"/>
    </w:rPr>
  </w:style>
  <w:style w:type="character" w:customStyle="1" w:styleId="Heading3Char">
    <w:name w:val="Heading 3 Char"/>
    <w:basedOn w:val="DefaultParagraphFont"/>
    <w:link w:val="Heading3"/>
    <w:rsid w:val="002C5BC8"/>
    <w:rPr>
      <w:rFonts w:ascii="Times New Roman" w:hAnsi="Times New Roman" w:cs="Times New Roman"/>
      <w:b/>
      <w:sz w:val="24"/>
      <w:szCs w:val="20"/>
      <w:lang w:eastAsia="en-GB"/>
    </w:rPr>
  </w:style>
  <w:style w:type="character" w:customStyle="1" w:styleId="Heading4Char">
    <w:name w:val="Heading 4 Char"/>
    <w:basedOn w:val="DefaultParagraphFont"/>
    <w:link w:val="Heading4"/>
    <w:rsid w:val="005A15E5"/>
    <w:rPr>
      <w:b/>
      <w:i/>
      <w:sz w:val="24"/>
    </w:rPr>
  </w:style>
  <w:style w:type="character" w:customStyle="1" w:styleId="Heading5Char">
    <w:name w:val="Heading 5 Char"/>
    <w:basedOn w:val="DefaultParagraphFont"/>
    <w:link w:val="Heading5"/>
    <w:rsid w:val="002C5BC8"/>
    <w:rPr>
      <w:rFonts w:ascii="Arial" w:hAnsi="Arial" w:cs="Times New Roman"/>
      <w:szCs w:val="20"/>
      <w:lang w:eastAsia="en-GB"/>
    </w:rPr>
  </w:style>
  <w:style w:type="paragraph" w:customStyle="1" w:styleId="Norm18space">
    <w:name w:val="Norm+18space"/>
    <w:basedOn w:val="Normal"/>
    <w:next w:val="Normal"/>
    <w:rsid w:val="004E2308"/>
    <w:pPr>
      <w:ind w:left="720" w:hanging="720"/>
    </w:pPr>
  </w:style>
  <w:style w:type="paragraph" w:customStyle="1" w:styleId="NormalBk">
    <w:name w:val="Normal_Bk"/>
    <w:basedOn w:val="Normal"/>
    <w:rsid w:val="004E2308"/>
    <w:rPr>
      <w:rFonts w:ascii="Book Antiqua" w:hAnsi="Book Antiqua"/>
    </w:rPr>
  </w:style>
  <w:style w:type="paragraph" w:customStyle="1" w:styleId="NormQuote">
    <w:name w:val="NormQuote"/>
    <w:basedOn w:val="Normal2"/>
    <w:next w:val="Normal2"/>
    <w:autoRedefine/>
    <w:qFormat/>
    <w:rsid w:val="00EF02F1"/>
    <w:pPr>
      <w:spacing w:after="240"/>
      <w:ind w:left="720"/>
    </w:pPr>
    <w:rPr>
      <w:szCs w:val="24"/>
    </w:rPr>
  </w:style>
  <w:style w:type="paragraph" w:customStyle="1" w:styleId="ORDNOQUO">
    <w:name w:val="ORD_NO_QUO"/>
    <w:basedOn w:val="Normal"/>
    <w:rsid w:val="004E2308"/>
    <w:pPr>
      <w:tabs>
        <w:tab w:val="left" w:pos="1440"/>
        <w:tab w:val="left" w:pos="2160"/>
        <w:tab w:val="left" w:pos="2880"/>
        <w:tab w:val="left" w:pos="3600"/>
        <w:tab w:val="left" w:pos="4320"/>
        <w:tab w:val="left" w:pos="5040"/>
        <w:tab w:val="left" w:pos="5760"/>
        <w:tab w:val="left" w:pos="6480"/>
        <w:tab w:val="left" w:pos="7200"/>
        <w:tab w:val="left" w:pos="7920"/>
        <w:tab w:val="right" w:pos="9029"/>
      </w:tabs>
      <w:spacing w:before="120"/>
      <w:ind w:left="1440" w:right="576"/>
      <w:jc w:val="both"/>
    </w:pPr>
  </w:style>
  <w:style w:type="paragraph" w:customStyle="1" w:styleId="ORDINNOSPACE">
    <w:name w:val="ORDIN_NO SPACE"/>
    <w:basedOn w:val="Normal"/>
    <w:rsid w:val="004E2308"/>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29"/>
      </w:tabs>
      <w:spacing w:line="480" w:lineRule="auto"/>
      <w:jc w:val="both"/>
    </w:pPr>
  </w:style>
  <w:style w:type="paragraph" w:customStyle="1" w:styleId="ORDINARY">
    <w:name w:val="ORDINARY"/>
    <w:basedOn w:val="Normal"/>
    <w:rsid w:val="004E2308"/>
    <w:pPr>
      <w:tabs>
        <w:tab w:val="left" w:pos="1440"/>
        <w:tab w:val="left" w:pos="2160"/>
        <w:tab w:val="left" w:pos="2880"/>
        <w:tab w:val="left" w:pos="3600"/>
        <w:tab w:val="left" w:pos="4320"/>
        <w:tab w:val="left" w:pos="5040"/>
        <w:tab w:val="left" w:pos="5760"/>
        <w:tab w:val="left" w:pos="6480"/>
        <w:tab w:val="left" w:pos="7200"/>
        <w:tab w:val="left" w:pos="7920"/>
        <w:tab w:val="right" w:pos="9029"/>
      </w:tabs>
      <w:spacing w:before="120" w:after="120" w:line="480" w:lineRule="auto"/>
      <w:jc w:val="both"/>
    </w:pPr>
  </w:style>
  <w:style w:type="paragraph" w:styleId="Title">
    <w:name w:val="Title"/>
    <w:basedOn w:val="Normal"/>
    <w:link w:val="TitleChar"/>
    <w:qFormat/>
    <w:rsid w:val="004E2308"/>
    <w:pPr>
      <w:spacing w:before="180" w:after="180"/>
      <w:jc w:val="center"/>
    </w:pPr>
    <w:rPr>
      <w:rFonts w:ascii="Arial" w:hAnsi="Arial"/>
      <w:b/>
      <w:kern w:val="28"/>
      <w:sz w:val="32"/>
      <w:u w:val="single"/>
    </w:rPr>
  </w:style>
  <w:style w:type="character" w:customStyle="1" w:styleId="TitleChar">
    <w:name w:val="Title Char"/>
    <w:basedOn w:val="DefaultParagraphFont"/>
    <w:link w:val="Title"/>
    <w:rsid w:val="002C5BC8"/>
    <w:rPr>
      <w:rFonts w:ascii="Arial" w:hAnsi="Arial" w:cs="Times New Roman"/>
      <w:b/>
      <w:kern w:val="28"/>
      <w:sz w:val="32"/>
      <w:szCs w:val="20"/>
      <w:u w:val="single"/>
      <w:lang w:eastAsia="en-GB"/>
    </w:rPr>
  </w:style>
  <w:style w:type="paragraph" w:customStyle="1" w:styleId="Title1">
    <w:name w:val="Title1"/>
    <w:basedOn w:val="Normal"/>
    <w:next w:val="Normal"/>
    <w:rsid w:val="004E2308"/>
    <w:pPr>
      <w:tabs>
        <w:tab w:val="right" w:pos="9029"/>
      </w:tabs>
    </w:pPr>
  </w:style>
  <w:style w:type="paragraph" w:styleId="BalloonText">
    <w:name w:val="Balloon Text"/>
    <w:basedOn w:val="Normal"/>
    <w:link w:val="BalloonTextChar"/>
    <w:rsid w:val="004E2308"/>
    <w:rPr>
      <w:rFonts w:ascii="Segoe UI" w:hAnsi="Segoe UI" w:cs="Segoe UI"/>
      <w:sz w:val="18"/>
      <w:szCs w:val="18"/>
    </w:rPr>
  </w:style>
  <w:style w:type="character" w:customStyle="1" w:styleId="BalloonTextChar">
    <w:name w:val="Balloon Text Char"/>
    <w:basedOn w:val="DefaultParagraphFont"/>
    <w:link w:val="BalloonText"/>
    <w:rsid w:val="004E2308"/>
    <w:rPr>
      <w:rFonts w:ascii="Segoe UI" w:hAnsi="Segoe UI" w:cs="Segoe UI"/>
      <w:sz w:val="18"/>
      <w:szCs w:val="18"/>
      <w:lang w:eastAsia="en-GB"/>
    </w:rPr>
  </w:style>
  <w:style w:type="paragraph" w:customStyle="1" w:styleId="CoverDesc">
    <w:name w:val="CoverDesc"/>
    <w:basedOn w:val="Normal"/>
    <w:rsid w:val="004E2308"/>
    <w:pPr>
      <w:jc w:val="center"/>
    </w:pPr>
    <w:rPr>
      <w:b/>
      <w:sz w:val="36"/>
    </w:rPr>
  </w:style>
  <w:style w:type="paragraph" w:customStyle="1" w:styleId="CoverMain">
    <w:name w:val="CoverMain"/>
    <w:basedOn w:val="Normal"/>
    <w:rsid w:val="004E23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u w:val="single"/>
    </w:rPr>
  </w:style>
  <w:style w:type="paragraph" w:customStyle="1" w:styleId="CoverText">
    <w:name w:val="CoverText"/>
    <w:basedOn w:val="Normal"/>
    <w:rsid w:val="004E2308"/>
    <w:pPr>
      <w:jc w:val="right"/>
    </w:pPr>
    <w:rPr>
      <w:u w:val="single"/>
    </w:rPr>
  </w:style>
  <w:style w:type="paragraph" w:customStyle="1" w:styleId="eMailBlock">
    <w:name w:val="eMailBlock"/>
    <w:basedOn w:val="Title"/>
    <w:rsid w:val="004E2308"/>
    <w:rPr>
      <w:sz w:val="26"/>
    </w:rPr>
  </w:style>
  <w:style w:type="character" w:styleId="FootnoteReference">
    <w:name w:val="footnote reference"/>
    <w:basedOn w:val="DefaultParagraphFont"/>
    <w:rsid w:val="004E2308"/>
    <w:rPr>
      <w:vertAlign w:val="superscript"/>
    </w:rPr>
  </w:style>
  <w:style w:type="paragraph" w:styleId="FootnoteText">
    <w:name w:val="footnote text"/>
    <w:basedOn w:val="Normal"/>
    <w:link w:val="FootnoteTextChar"/>
    <w:rsid w:val="004E2308"/>
    <w:rPr>
      <w:sz w:val="20"/>
    </w:rPr>
  </w:style>
  <w:style w:type="character" w:customStyle="1" w:styleId="FootnoteTextChar">
    <w:name w:val="Footnote Text Char"/>
    <w:basedOn w:val="DefaultParagraphFont"/>
    <w:link w:val="FootnoteText"/>
    <w:rsid w:val="004E2308"/>
    <w:rPr>
      <w:rFonts w:ascii="Times New Roman" w:hAnsi="Times New Roman" w:cs="Times New Roman"/>
      <w:sz w:val="20"/>
      <w:szCs w:val="20"/>
      <w:lang w:eastAsia="en-GB"/>
    </w:rPr>
  </w:style>
  <w:style w:type="paragraph" w:customStyle="1" w:styleId="Heading">
    <w:name w:val="Heading"/>
    <w:basedOn w:val="Normal"/>
    <w:next w:val="Heading1"/>
    <w:rsid w:val="004E2308"/>
    <w:pPr>
      <w:keepNext/>
      <w:spacing w:before="240" w:after="240" w:line="480" w:lineRule="auto"/>
    </w:pPr>
  </w:style>
  <w:style w:type="character" w:styleId="Hyperlink">
    <w:name w:val="Hyperlink"/>
    <w:rsid w:val="004E2308"/>
    <w:rPr>
      <w:color w:val="0000FF"/>
      <w:u w:val="single"/>
    </w:rPr>
  </w:style>
  <w:style w:type="paragraph" w:styleId="ListParagraph">
    <w:name w:val="List Paragraph"/>
    <w:basedOn w:val="Normal"/>
    <w:uiPriority w:val="34"/>
    <w:qFormat/>
    <w:rsid w:val="004E2308"/>
    <w:pPr>
      <w:ind w:left="720"/>
      <w:contextualSpacing/>
    </w:pPr>
  </w:style>
  <w:style w:type="paragraph" w:customStyle="1" w:styleId="ParaHeading">
    <w:name w:val="ParaHeading"/>
    <w:basedOn w:val="Normal"/>
    <w:next w:val="Normal"/>
    <w:rsid w:val="004E2308"/>
    <w:pPr>
      <w:keepNext/>
      <w:spacing w:before="240" w:after="240"/>
    </w:pPr>
  </w:style>
  <w:style w:type="paragraph" w:customStyle="1" w:styleId="ParaLevel1">
    <w:name w:val="ParaLevel1"/>
    <w:basedOn w:val="Normal"/>
    <w:rsid w:val="004E2308"/>
    <w:pPr>
      <w:numPr>
        <w:numId w:val="15"/>
      </w:numPr>
      <w:suppressAutoHyphens/>
      <w:spacing w:before="240" w:after="240"/>
      <w:jc w:val="both"/>
      <w:outlineLvl w:val="0"/>
    </w:pPr>
  </w:style>
  <w:style w:type="paragraph" w:customStyle="1" w:styleId="ParaLevel2">
    <w:name w:val="ParaLevel2"/>
    <w:basedOn w:val="Normal"/>
    <w:rsid w:val="004E2308"/>
    <w:pPr>
      <w:numPr>
        <w:ilvl w:val="1"/>
        <w:numId w:val="15"/>
      </w:numPr>
      <w:suppressAutoHyphens/>
      <w:spacing w:before="240" w:after="240"/>
      <w:jc w:val="both"/>
      <w:outlineLvl w:val="1"/>
    </w:pPr>
  </w:style>
  <w:style w:type="paragraph" w:customStyle="1" w:styleId="ParaLevel3">
    <w:name w:val="ParaLevel3"/>
    <w:basedOn w:val="Normal"/>
    <w:rsid w:val="004E2308"/>
    <w:pPr>
      <w:numPr>
        <w:ilvl w:val="2"/>
        <w:numId w:val="15"/>
      </w:numPr>
      <w:suppressAutoHyphens/>
      <w:spacing w:before="240" w:after="240"/>
      <w:jc w:val="both"/>
      <w:outlineLvl w:val="2"/>
    </w:pPr>
  </w:style>
  <w:style w:type="paragraph" w:customStyle="1" w:styleId="ParaLevel4">
    <w:name w:val="ParaLevel4"/>
    <w:basedOn w:val="Normal"/>
    <w:rsid w:val="004E2308"/>
    <w:pPr>
      <w:numPr>
        <w:ilvl w:val="3"/>
        <w:numId w:val="15"/>
      </w:numPr>
      <w:suppressAutoHyphens/>
      <w:spacing w:before="240" w:after="240"/>
      <w:jc w:val="both"/>
      <w:outlineLvl w:val="3"/>
    </w:pPr>
  </w:style>
  <w:style w:type="paragraph" w:customStyle="1" w:styleId="ParaLevel5">
    <w:name w:val="ParaLevel5"/>
    <w:basedOn w:val="Normal"/>
    <w:rsid w:val="004E2308"/>
    <w:pPr>
      <w:numPr>
        <w:ilvl w:val="4"/>
        <w:numId w:val="15"/>
      </w:numPr>
      <w:suppressAutoHyphens/>
      <w:spacing w:before="240" w:after="240"/>
      <w:jc w:val="both"/>
      <w:outlineLvl w:val="4"/>
    </w:pPr>
  </w:style>
  <w:style w:type="paragraph" w:customStyle="1" w:styleId="ParaLevel6">
    <w:name w:val="ParaLevel6"/>
    <w:basedOn w:val="Normal"/>
    <w:rsid w:val="004E2308"/>
    <w:pPr>
      <w:numPr>
        <w:ilvl w:val="5"/>
        <w:numId w:val="15"/>
      </w:numPr>
      <w:suppressAutoHyphens/>
      <w:spacing w:before="240" w:after="240"/>
      <w:jc w:val="both"/>
      <w:outlineLvl w:val="5"/>
    </w:pPr>
  </w:style>
  <w:style w:type="paragraph" w:customStyle="1" w:styleId="ParaLevel7">
    <w:name w:val="ParaLevel7"/>
    <w:basedOn w:val="Normal"/>
    <w:rsid w:val="004E2308"/>
    <w:pPr>
      <w:numPr>
        <w:ilvl w:val="6"/>
        <w:numId w:val="15"/>
      </w:numPr>
      <w:suppressAutoHyphens/>
      <w:spacing w:before="240" w:after="240"/>
      <w:jc w:val="both"/>
      <w:outlineLvl w:val="6"/>
    </w:pPr>
  </w:style>
  <w:style w:type="paragraph" w:customStyle="1" w:styleId="ParaLevel8">
    <w:name w:val="ParaLevel8"/>
    <w:basedOn w:val="Normal"/>
    <w:rsid w:val="004E2308"/>
    <w:pPr>
      <w:numPr>
        <w:ilvl w:val="7"/>
        <w:numId w:val="15"/>
      </w:numPr>
      <w:suppressAutoHyphens/>
      <w:spacing w:before="240" w:after="240"/>
      <w:jc w:val="both"/>
      <w:outlineLvl w:val="7"/>
    </w:pPr>
  </w:style>
  <w:style w:type="paragraph" w:customStyle="1" w:styleId="ParaLevel9">
    <w:name w:val="ParaLevel9"/>
    <w:basedOn w:val="Normal"/>
    <w:rsid w:val="004E2308"/>
    <w:pPr>
      <w:numPr>
        <w:ilvl w:val="8"/>
        <w:numId w:val="15"/>
      </w:numPr>
      <w:suppressAutoHyphens/>
      <w:spacing w:before="240" w:after="240"/>
      <w:jc w:val="both"/>
      <w:outlineLvl w:val="8"/>
    </w:pPr>
  </w:style>
  <w:style w:type="paragraph" w:customStyle="1" w:styleId="ParaNoNumber">
    <w:name w:val="ParaNoNumber"/>
    <w:basedOn w:val="Normal"/>
    <w:next w:val="ParaLevel1"/>
    <w:rsid w:val="004E2308"/>
    <w:pPr>
      <w:spacing w:before="240" w:after="240"/>
      <w:jc w:val="both"/>
    </w:pPr>
  </w:style>
  <w:style w:type="paragraph" w:styleId="Quote">
    <w:name w:val="Quote"/>
    <w:basedOn w:val="Normal"/>
    <w:next w:val="ParaLevel1"/>
    <w:link w:val="QuoteChar"/>
    <w:uiPriority w:val="29"/>
    <w:qFormat/>
    <w:rsid w:val="004E2308"/>
    <w:pPr>
      <w:spacing w:after="240"/>
      <w:ind w:left="1440" w:right="1440"/>
      <w:jc w:val="both"/>
    </w:pPr>
  </w:style>
  <w:style w:type="character" w:customStyle="1" w:styleId="QuoteChar">
    <w:name w:val="Quote Char"/>
    <w:basedOn w:val="DefaultParagraphFont"/>
    <w:link w:val="Quote"/>
    <w:uiPriority w:val="29"/>
    <w:rsid w:val="004E2308"/>
    <w:rPr>
      <w:rFonts w:ascii="Times New Roman" w:hAnsi="Times New Roman" w:cs="Times New Roman"/>
      <w:sz w:val="24"/>
      <w:szCs w:val="20"/>
      <w:lang w:eastAsia="en-GB"/>
    </w:rPr>
  </w:style>
  <w:style w:type="table" w:styleId="TableGrid">
    <w:name w:val="Table Grid"/>
    <w:basedOn w:val="TableNormal"/>
    <w:rsid w:val="004E2308"/>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52AC1"/>
  </w:style>
  <w:style w:type="table" w:styleId="PlainTable3">
    <w:name w:val="Plain Table 3"/>
    <w:basedOn w:val="TableNormal"/>
    <w:uiPriority w:val="43"/>
    <w:rsid w:val="00752AC1"/>
    <w:rPr>
      <w:lang w:eastAsia="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odyText">
    <w:name w:val="Body Text"/>
    <w:basedOn w:val="Normal"/>
    <w:link w:val="BodyTextChar"/>
    <w:uiPriority w:val="1"/>
    <w:qFormat/>
    <w:rsid w:val="00243270"/>
    <w:pPr>
      <w:widowControl w:val="0"/>
      <w:autoSpaceDE w:val="0"/>
      <w:autoSpaceDN w:val="0"/>
    </w:pPr>
    <w:rPr>
      <w:rFonts w:ascii="Calibri" w:eastAsia="Calibri" w:hAnsi="Calibri" w:cs="Calibri"/>
      <w:spacing w:val="0"/>
      <w:sz w:val="22"/>
      <w:szCs w:val="22"/>
      <w:lang w:eastAsia="en-GB" w:bidi="en-GB"/>
    </w:rPr>
  </w:style>
  <w:style w:type="character" w:customStyle="1" w:styleId="BodyTextChar">
    <w:name w:val="Body Text Char"/>
    <w:basedOn w:val="DefaultParagraphFont"/>
    <w:link w:val="BodyText"/>
    <w:uiPriority w:val="1"/>
    <w:rsid w:val="00243270"/>
    <w:rPr>
      <w:rFonts w:ascii="Calibri" w:eastAsia="Calibri" w:hAnsi="Calibri" w:cs="Calibri"/>
      <w:sz w:val="22"/>
      <w:szCs w:val="22"/>
      <w:lang w:eastAsia="en-GB" w:bidi="en-GB"/>
    </w:rPr>
  </w:style>
  <w:style w:type="character" w:styleId="UnresolvedMention">
    <w:name w:val="Unresolved Mention"/>
    <w:basedOn w:val="DefaultParagraphFont"/>
    <w:uiPriority w:val="99"/>
    <w:semiHidden/>
    <w:unhideWhenUsed/>
    <w:rsid w:val="00EB63F6"/>
    <w:rPr>
      <w:color w:val="605E5C"/>
      <w:shd w:val="clear" w:color="auto" w:fill="E1DFDD"/>
    </w:rPr>
  </w:style>
  <w:style w:type="paragraph" w:customStyle="1" w:styleId="Default">
    <w:name w:val="Default"/>
    <w:rsid w:val="00A74460"/>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10B3B"/>
    <w:rPr>
      <w:spacing w:val="-3"/>
      <w:sz w:val="24"/>
    </w:rPr>
  </w:style>
  <w:style w:type="character" w:styleId="CommentReference">
    <w:name w:val="annotation reference"/>
    <w:basedOn w:val="DefaultParagraphFont"/>
    <w:uiPriority w:val="99"/>
    <w:semiHidden/>
    <w:unhideWhenUsed/>
    <w:rsid w:val="00934BE9"/>
    <w:rPr>
      <w:sz w:val="16"/>
      <w:szCs w:val="16"/>
    </w:rPr>
  </w:style>
  <w:style w:type="paragraph" w:styleId="CommentText">
    <w:name w:val="annotation text"/>
    <w:basedOn w:val="Normal"/>
    <w:link w:val="CommentTextChar"/>
    <w:uiPriority w:val="99"/>
    <w:semiHidden/>
    <w:unhideWhenUsed/>
    <w:rsid w:val="00934BE9"/>
    <w:rPr>
      <w:sz w:val="20"/>
    </w:rPr>
  </w:style>
  <w:style w:type="character" w:customStyle="1" w:styleId="CommentTextChar">
    <w:name w:val="Comment Text Char"/>
    <w:basedOn w:val="DefaultParagraphFont"/>
    <w:link w:val="CommentText"/>
    <w:uiPriority w:val="99"/>
    <w:semiHidden/>
    <w:rsid w:val="00934BE9"/>
    <w:rPr>
      <w:spacing w:val="-3"/>
    </w:rPr>
  </w:style>
  <w:style w:type="paragraph" w:styleId="CommentSubject">
    <w:name w:val="annotation subject"/>
    <w:basedOn w:val="CommentText"/>
    <w:next w:val="CommentText"/>
    <w:link w:val="CommentSubjectChar"/>
    <w:uiPriority w:val="99"/>
    <w:semiHidden/>
    <w:unhideWhenUsed/>
    <w:rsid w:val="00934BE9"/>
    <w:rPr>
      <w:b/>
      <w:bCs/>
    </w:rPr>
  </w:style>
  <w:style w:type="character" w:customStyle="1" w:styleId="CommentSubjectChar">
    <w:name w:val="Comment Subject Char"/>
    <w:basedOn w:val="CommentTextChar"/>
    <w:link w:val="CommentSubject"/>
    <w:uiPriority w:val="99"/>
    <w:semiHidden/>
    <w:rsid w:val="00934BE9"/>
    <w:rPr>
      <w:b/>
      <w:bCs/>
      <w:spacing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42605">
      <w:bodyDiv w:val="1"/>
      <w:marLeft w:val="0"/>
      <w:marRight w:val="0"/>
      <w:marTop w:val="0"/>
      <w:marBottom w:val="0"/>
      <w:divBdr>
        <w:top w:val="none" w:sz="0" w:space="0" w:color="auto"/>
        <w:left w:val="none" w:sz="0" w:space="0" w:color="auto"/>
        <w:bottom w:val="none" w:sz="0" w:space="0" w:color="auto"/>
        <w:right w:val="none" w:sz="0" w:space="0" w:color="auto"/>
      </w:divBdr>
      <w:divsChild>
        <w:div w:id="554395882">
          <w:marLeft w:val="0"/>
          <w:marRight w:val="0"/>
          <w:marTop w:val="0"/>
          <w:marBottom w:val="0"/>
          <w:divBdr>
            <w:top w:val="none" w:sz="0" w:space="0" w:color="auto"/>
            <w:left w:val="none" w:sz="0" w:space="0" w:color="auto"/>
            <w:bottom w:val="none" w:sz="0" w:space="0" w:color="auto"/>
            <w:right w:val="none" w:sz="0" w:space="0" w:color="auto"/>
          </w:divBdr>
          <w:divsChild>
            <w:div w:id="1109354438">
              <w:marLeft w:val="0"/>
              <w:marRight w:val="0"/>
              <w:marTop w:val="0"/>
              <w:marBottom w:val="0"/>
              <w:divBdr>
                <w:top w:val="none" w:sz="0" w:space="0" w:color="auto"/>
                <w:left w:val="none" w:sz="0" w:space="0" w:color="auto"/>
                <w:bottom w:val="none" w:sz="0" w:space="0" w:color="auto"/>
                <w:right w:val="none" w:sz="0" w:space="0" w:color="auto"/>
              </w:divBdr>
            </w:div>
            <w:div w:id="1317494458">
              <w:marLeft w:val="0"/>
              <w:marRight w:val="0"/>
              <w:marTop w:val="0"/>
              <w:marBottom w:val="0"/>
              <w:divBdr>
                <w:top w:val="none" w:sz="0" w:space="0" w:color="auto"/>
                <w:left w:val="none" w:sz="0" w:space="0" w:color="auto"/>
                <w:bottom w:val="none" w:sz="0" w:space="0" w:color="auto"/>
                <w:right w:val="none" w:sz="0" w:space="0" w:color="auto"/>
              </w:divBdr>
            </w:div>
          </w:divsChild>
        </w:div>
        <w:div w:id="960383476">
          <w:marLeft w:val="0"/>
          <w:marRight w:val="0"/>
          <w:marTop w:val="0"/>
          <w:marBottom w:val="0"/>
          <w:divBdr>
            <w:top w:val="none" w:sz="0" w:space="0" w:color="auto"/>
            <w:left w:val="none" w:sz="0" w:space="0" w:color="auto"/>
            <w:bottom w:val="none" w:sz="0" w:space="0" w:color="auto"/>
            <w:right w:val="none" w:sz="0" w:space="0" w:color="auto"/>
          </w:divBdr>
          <w:divsChild>
            <w:div w:id="2125152747">
              <w:marLeft w:val="0"/>
              <w:marRight w:val="0"/>
              <w:marTop w:val="0"/>
              <w:marBottom w:val="0"/>
              <w:divBdr>
                <w:top w:val="none" w:sz="0" w:space="0" w:color="auto"/>
                <w:left w:val="none" w:sz="0" w:space="0" w:color="auto"/>
                <w:bottom w:val="none" w:sz="0" w:space="0" w:color="auto"/>
                <w:right w:val="none" w:sz="0" w:space="0" w:color="auto"/>
              </w:divBdr>
            </w:div>
            <w:div w:id="1641882968">
              <w:marLeft w:val="0"/>
              <w:marRight w:val="0"/>
              <w:marTop w:val="0"/>
              <w:marBottom w:val="0"/>
              <w:divBdr>
                <w:top w:val="none" w:sz="0" w:space="0" w:color="auto"/>
                <w:left w:val="none" w:sz="0" w:space="0" w:color="auto"/>
                <w:bottom w:val="none" w:sz="0" w:space="0" w:color="auto"/>
                <w:right w:val="none" w:sz="0" w:space="0" w:color="auto"/>
              </w:divBdr>
            </w:div>
          </w:divsChild>
        </w:div>
        <w:div w:id="761491938">
          <w:marLeft w:val="0"/>
          <w:marRight w:val="0"/>
          <w:marTop w:val="0"/>
          <w:marBottom w:val="0"/>
          <w:divBdr>
            <w:top w:val="none" w:sz="0" w:space="0" w:color="auto"/>
            <w:left w:val="none" w:sz="0" w:space="0" w:color="auto"/>
            <w:bottom w:val="none" w:sz="0" w:space="0" w:color="auto"/>
            <w:right w:val="none" w:sz="0" w:space="0" w:color="auto"/>
          </w:divBdr>
        </w:div>
      </w:divsChild>
    </w:div>
    <w:div w:id="190844870">
      <w:bodyDiv w:val="1"/>
      <w:marLeft w:val="0"/>
      <w:marRight w:val="0"/>
      <w:marTop w:val="0"/>
      <w:marBottom w:val="0"/>
      <w:divBdr>
        <w:top w:val="none" w:sz="0" w:space="0" w:color="auto"/>
        <w:left w:val="none" w:sz="0" w:space="0" w:color="auto"/>
        <w:bottom w:val="none" w:sz="0" w:space="0" w:color="auto"/>
        <w:right w:val="none" w:sz="0" w:space="0" w:color="auto"/>
      </w:divBdr>
      <w:divsChild>
        <w:div w:id="1300305381">
          <w:marLeft w:val="0"/>
          <w:marRight w:val="0"/>
          <w:marTop w:val="0"/>
          <w:marBottom w:val="0"/>
          <w:divBdr>
            <w:top w:val="none" w:sz="0" w:space="0" w:color="auto"/>
            <w:left w:val="none" w:sz="0" w:space="0" w:color="auto"/>
            <w:bottom w:val="none" w:sz="0" w:space="0" w:color="auto"/>
            <w:right w:val="none" w:sz="0" w:space="0" w:color="auto"/>
          </w:divBdr>
        </w:div>
        <w:div w:id="1923828344">
          <w:marLeft w:val="0"/>
          <w:marRight w:val="0"/>
          <w:marTop w:val="0"/>
          <w:marBottom w:val="0"/>
          <w:divBdr>
            <w:top w:val="none" w:sz="0" w:space="0" w:color="auto"/>
            <w:left w:val="none" w:sz="0" w:space="0" w:color="auto"/>
            <w:bottom w:val="none" w:sz="0" w:space="0" w:color="auto"/>
            <w:right w:val="none" w:sz="0" w:space="0" w:color="auto"/>
          </w:divBdr>
        </w:div>
        <w:div w:id="202179614">
          <w:marLeft w:val="0"/>
          <w:marRight w:val="0"/>
          <w:marTop w:val="0"/>
          <w:marBottom w:val="0"/>
          <w:divBdr>
            <w:top w:val="none" w:sz="0" w:space="0" w:color="auto"/>
            <w:left w:val="none" w:sz="0" w:space="0" w:color="auto"/>
            <w:bottom w:val="none" w:sz="0" w:space="0" w:color="auto"/>
            <w:right w:val="none" w:sz="0" w:space="0" w:color="auto"/>
          </w:divBdr>
        </w:div>
      </w:divsChild>
    </w:div>
    <w:div w:id="228464866">
      <w:bodyDiv w:val="1"/>
      <w:marLeft w:val="0"/>
      <w:marRight w:val="0"/>
      <w:marTop w:val="0"/>
      <w:marBottom w:val="0"/>
      <w:divBdr>
        <w:top w:val="none" w:sz="0" w:space="0" w:color="auto"/>
        <w:left w:val="none" w:sz="0" w:space="0" w:color="auto"/>
        <w:bottom w:val="none" w:sz="0" w:space="0" w:color="auto"/>
        <w:right w:val="none" w:sz="0" w:space="0" w:color="auto"/>
      </w:divBdr>
      <w:divsChild>
        <w:div w:id="71047829">
          <w:marLeft w:val="0"/>
          <w:marRight w:val="0"/>
          <w:marTop w:val="0"/>
          <w:marBottom w:val="0"/>
          <w:divBdr>
            <w:top w:val="none" w:sz="0" w:space="0" w:color="auto"/>
            <w:left w:val="none" w:sz="0" w:space="0" w:color="auto"/>
            <w:bottom w:val="none" w:sz="0" w:space="0" w:color="auto"/>
            <w:right w:val="none" w:sz="0" w:space="0" w:color="auto"/>
          </w:divBdr>
        </w:div>
        <w:div w:id="1264876670">
          <w:marLeft w:val="0"/>
          <w:marRight w:val="0"/>
          <w:marTop w:val="0"/>
          <w:marBottom w:val="0"/>
          <w:divBdr>
            <w:top w:val="none" w:sz="0" w:space="0" w:color="auto"/>
            <w:left w:val="none" w:sz="0" w:space="0" w:color="auto"/>
            <w:bottom w:val="none" w:sz="0" w:space="0" w:color="auto"/>
            <w:right w:val="none" w:sz="0" w:space="0" w:color="auto"/>
          </w:divBdr>
        </w:div>
      </w:divsChild>
    </w:div>
    <w:div w:id="398477273">
      <w:bodyDiv w:val="1"/>
      <w:marLeft w:val="0"/>
      <w:marRight w:val="0"/>
      <w:marTop w:val="0"/>
      <w:marBottom w:val="0"/>
      <w:divBdr>
        <w:top w:val="none" w:sz="0" w:space="0" w:color="auto"/>
        <w:left w:val="none" w:sz="0" w:space="0" w:color="auto"/>
        <w:bottom w:val="none" w:sz="0" w:space="0" w:color="auto"/>
        <w:right w:val="none" w:sz="0" w:space="0" w:color="auto"/>
      </w:divBdr>
      <w:divsChild>
        <w:div w:id="1643732670">
          <w:marLeft w:val="0"/>
          <w:marRight w:val="0"/>
          <w:marTop w:val="0"/>
          <w:marBottom w:val="0"/>
          <w:divBdr>
            <w:top w:val="none" w:sz="0" w:space="0" w:color="auto"/>
            <w:left w:val="none" w:sz="0" w:space="0" w:color="auto"/>
            <w:bottom w:val="none" w:sz="0" w:space="0" w:color="auto"/>
            <w:right w:val="none" w:sz="0" w:space="0" w:color="auto"/>
          </w:divBdr>
          <w:divsChild>
            <w:div w:id="1729571503">
              <w:marLeft w:val="0"/>
              <w:marRight w:val="0"/>
              <w:marTop w:val="0"/>
              <w:marBottom w:val="0"/>
              <w:divBdr>
                <w:top w:val="none" w:sz="0" w:space="0" w:color="auto"/>
                <w:left w:val="none" w:sz="0" w:space="0" w:color="auto"/>
                <w:bottom w:val="none" w:sz="0" w:space="0" w:color="auto"/>
                <w:right w:val="none" w:sz="0" w:space="0" w:color="auto"/>
              </w:divBdr>
            </w:div>
            <w:div w:id="85808994">
              <w:marLeft w:val="0"/>
              <w:marRight w:val="0"/>
              <w:marTop w:val="0"/>
              <w:marBottom w:val="0"/>
              <w:divBdr>
                <w:top w:val="none" w:sz="0" w:space="0" w:color="auto"/>
                <w:left w:val="none" w:sz="0" w:space="0" w:color="auto"/>
                <w:bottom w:val="none" w:sz="0" w:space="0" w:color="auto"/>
                <w:right w:val="none" w:sz="0" w:space="0" w:color="auto"/>
              </w:divBdr>
            </w:div>
          </w:divsChild>
        </w:div>
        <w:div w:id="546648273">
          <w:marLeft w:val="0"/>
          <w:marRight w:val="0"/>
          <w:marTop w:val="0"/>
          <w:marBottom w:val="0"/>
          <w:divBdr>
            <w:top w:val="none" w:sz="0" w:space="0" w:color="auto"/>
            <w:left w:val="none" w:sz="0" w:space="0" w:color="auto"/>
            <w:bottom w:val="none" w:sz="0" w:space="0" w:color="auto"/>
            <w:right w:val="none" w:sz="0" w:space="0" w:color="auto"/>
          </w:divBdr>
          <w:divsChild>
            <w:div w:id="1174032942">
              <w:marLeft w:val="0"/>
              <w:marRight w:val="0"/>
              <w:marTop w:val="0"/>
              <w:marBottom w:val="0"/>
              <w:divBdr>
                <w:top w:val="none" w:sz="0" w:space="0" w:color="auto"/>
                <w:left w:val="none" w:sz="0" w:space="0" w:color="auto"/>
                <w:bottom w:val="none" w:sz="0" w:space="0" w:color="auto"/>
                <w:right w:val="none" w:sz="0" w:space="0" w:color="auto"/>
              </w:divBdr>
            </w:div>
            <w:div w:id="1479879914">
              <w:marLeft w:val="0"/>
              <w:marRight w:val="0"/>
              <w:marTop w:val="0"/>
              <w:marBottom w:val="0"/>
              <w:divBdr>
                <w:top w:val="none" w:sz="0" w:space="0" w:color="auto"/>
                <w:left w:val="none" w:sz="0" w:space="0" w:color="auto"/>
                <w:bottom w:val="none" w:sz="0" w:space="0" w:color="auto"/>
                <w:right w:val="none" w:sz="0" w:space="0" w:color="auto"/>
              </w:divBdr>
            </w:div>
          </w:divsChild>
        </w:div>
        <w:div w:id="1730610654">
          <w:marLeft w:val="0"/>
          <w:marRight w:val="0"/>
          <w:marTop w:val="0"/>
          <w:marBottom w:val="0"/>
          <w:divBdr>
            <w:top w:val="none" w:sz="0" w:space="0" w:color="auto"/>
            <w:left w:val="none" w:sz="0" w:space="0" w:color="auto"/>
            <w:bottom w:val="none" w:sz="0" w:space="0" w:color="auto"/>
            <w:right w:val="none" w:sz="0" w:space="0" w:color="auto"/>
          </w:divBdr>
          <w:divsChild>
            <w:div w:id="1624579742">
              <w:marLeft w:val="0"/>
              <w:marRight w:val="0"/>
              <w:marTop w:val="0"/>
              <w:marBottom w:val="0"/>
              <w:divBdr>
                <w:top w:val="none" w:sz="0" w:space="0" w:color="auto"/>
                <w:left w:val="none" w:sz="0" w:space="0" w:color="auto"/>
                <w:bottom w:val="none" w:sz="0" w:space="0" w:color="auto"/>
                <w:right w:val="none" w:sz="0" w:space="0" w:color="auto"/>
              </w:divBdr>
              <w:divsChild>
                <w:div w:id="1659336313">
                  <w:marLeft w:val="0"/>
                  <w:marRight w:val="0"/>
                  <w:marTop w:val="0"/>
                  <w:marBottom w:val="0"/>
                  <w:divBdr>
                    <w:top w:val="none" w:sz="0" w:space="0" w:color="auto"/>
                    <w:left w:val="none" w:sz="0" w:space="0" w:color="auto"/>
                    <w:bottom w:val="none" w:sz="0" w:space="0" w:color="auto"/>
                    <w:right w:val="none" w:sz="0" w:space="0" w:color="auto"/>
                  </w:divBdr>
                </w:div>
                <w:div w:id="408431301">
                  <w:marLeft w:val="0"/>
                  <w:marRight w:val="0"/>
                  <w:marTop w:val="0"/>
                  <w:marBottom w:val="0"/>
                  <w:divBdr>
                    <w:top w:val="none" w:sz="0" w:space="0" w:color="auto"/>
                    <w:left w:val="none" w:sz="0" w:space="0" w:color="auto"/>
                    <w:bottom w:val="none" w:sz="0" w:space="0" w:color="auto"/>
                    <w:right w:val="none" w:sz="0" w:space="0" w:color="auto"/>
                  </w:divBdr>
                </w:div>
              </w:divsChild>
            </w:div>
            <w:div w:id="293023963">
              <w:marLeft w:val="0"/>
              <w:marRight w:val="0"/>
              <w:marTop w:val="0"/>
              <w:marBottom w:val="0"/>
              <w:divBdr>
                <w:top w:val="none" w:sz="0" w:space="0" w:color="auto"/>
                <w:left w:val="none" w:sz="0" w:space="0" w:color="auto"/>
                <w:bottom w:val="none" w:sz="0" w:space="0" w:color="auto"/>
                <w:right w:val="none" w:sz="0" w:space="0" w:color="auto"/>
              </w:divBdr>
              <w:divsChild>
                <w:div w:id="772675273">
                  <w:marLeft w:val="0"/>
                  <w:marRight w:val="0"/>
                  <w:marTop w:val="0"/>
                  <w:marBottom w:val="0"/>
                  <w:divBdr>
                    <w:top w:val="none" w:sz="0" w:space="0" w:color="auto"/>
                    <w:left w:val="none" w:sz="0" w:space="0" w:color="auto"/>
                    <w:bottom w:val="none" w:sz="0" w:space="0" w:color="auto"/>
                    <w:right w:val="none" w:sz="0" w:space="0" w:color="auto"/>
                  </w:divBdr>
                </w:div>
                <w:div w:id="814952972">
                  <w:marLeft w:val="0"/>
                  <w:marRight w:val="0"/>
                  <w:marTop w:val="0"/>
                  <w:marBottom w:val="0"/>
                  <w:divBdr>
                    <w:top w:val="none" w:sz="0" w:space="0" w:color="auto"/>
                    <w:left w:val="none" w:sz="0" w:space="0" w:color="auto"/>
                    <w:bottom w:val="none" w:sz="0" w:space="0" w:color="auto"/>
                    <w:right w:val="none" w:sz="0" w:space="0" w:color="auto"/>
                  </w:divBdr>
                </w:div>
              </w:divsChild>
            </w:div>
            <w:div w:id="863981334">
              <w:marLeft w:val="0"/>
              <w:marRight w:val="0"/>
              <w:marTop w:val="0"/>
              <w:marBottom w:val="0"/>
              <w:divBdr>
                <w:top w:val="none" w:sz="0" w:space="0" w:color="auto"/>
                <w:left w:val="none" w:sz="0" w:space="0" w:color="auto"/>
                <w:bottom w:val="none" w:sz="0" w:space="0" w:color="auto"/>
                <w:right w:val="none" w:sz="0" w:space="0" w:color="auto"/>
              </w:divBdr>
              <w:divsChild>
                <w:div w:id="1517189349">
                  <w:marLeft w:val="0"/>
                  <w:marRight w:val="0"/>
                  <w:marTop w:val="0"/>
                  <w:marBottom w:val="0"/>
                  <w:divBdr>
                    <w:top w:val="none" w:sz="0" w:space="0" w:color="auto"/>
                    <w:left w:val="none" w:sz="0" w:space="0" w:color="auto"/>
                    <w:bottom w:val="none" w:sz="0" w:space="0" w:color="auto"/>
                    <w:right w:val="none" w:sz="0" w:space="0" w:color="auto"/>
                  </w:divBdr>
                </w:div>
                <w:div w:id="514535786">
                  <w:marLeft w:val="0"/>
                  <w:marRight w:val="0"/>
                  <w:marTop w:val="0"/>
                  <w:marBottom w:val="0"/>
                  <w:divBdr>
                    <w:top w:val="none" w:sz="0" w:space="0" w:color="auto"/>
                    <w:left w:val="none" w:sz="0" w:space="0" w:color="auto"/>
                    <w:bottom w:val="none" w:sz="0" w:space="0" w:color="auto"/>
                    <w:right w:val="none" w:sz="0" w:space="0" w:color="auto"/>
                  </w:divBdr>
                </w:div>
              </w:divsChild>
            </w:div>
            <w:div w:id="343020945">
              <w:marLeft w:val="0"/>
              <w:marRight w:val="0"/>
              <w:marTop w:val="0"/>
              <w:marBottom w:val="0"/>
              <w:divBdr>
                <w:top w:val="none" w:sz="0" w:space="0" w:color="auto"/>
                <w:left w:val="none" w:sz="0" w:space="0" w:color="auto"/>
                <w:bottom w:val="none" w:sz="0" w:space="0" w:color="auto"/>
                <w:right w:val="none" w:sz="0" w:space="0" w:color="auto"/>
              </w:divBdr>
            </w:div>
            <w:div w:id="189523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336577">
      <w:bodyDiv w:val="1"/>
      <w:marLeft w:val="0"/>
      <w:marRight w:val="0"/>
      <w:marTop w:val="0"/>
      <w:marBottom w:val="0"/>
      <w:divBdr>
        <w:top w:val="none" w:sz="0" w:space="0" w:color="auto"/>
        <w:left w:val="none" w:sz="0" w:space="0" w:color="auto"/>
        <w:bottom w:val="none" w:sz="0" w:space="0" w:color="auto"/>
        <w:right w:val="none" w:sz="0" w:space="0" w:color="auto"/>
      </w:divBdr>
    </w:div>
    <w:div w:id="448087870">
      <w:bodyDiv w:val="1"/>
      <w:marLeft w:val="0"/>
      <w:marRight w:val="0"/>
      <w:marTop w:val="0"/>
      <w:marBottom w:val="0"/>
      <w:divBdr>
        <w:top w:val="none" w:sz="0" w:space="0" w:color="auto"/>
        <w:left w:val="none" w:sz="0" w:space="0" w:color="auto"/>
        <w:bottom w:val="none" w:sz="0" w:space="0" w:color="auto"/>
        <w:right w:val="none" w:sz="0" w:space="0" w:color="auto"/>
      </w:divBdr>
      <w:divsChild>
        <w:div w:id="1789932199">
          <w:marLeft w:val="0"/>
          <w:marRight w:val="0"/>
          <w:marTop w:val="0"/>
          <w:marBottom w:val="0"/>
          <w:divBdr>
            <w:top w:val="none" w:sz="0" w:space="0" w:color="auto"/>
            <w:left w:val="none" w:sz="0" w:space="0" w:color="auto"/>
            <w:bottom w:val="none" w:sz="0" w:space="0" w:color="auto"/>
            <w:right w:val="none" w:sz="0" w:space="0" w:color="auto"/>
          </w:divBdr>
          <w:divsChild>
            <w:div w:id="222452218">
              <w:marLeft w:val="0"/>
              <w:marRight w:val="0"/>
              <w:marTop w:val="0"/>
              <w:marBottom w:val="0"/>
              <w:divBdr>
                <w:top w:val="none" w:sz="0" w:space="0" w:color="auto"/>
                <w:left w:val="none" w:sz="0" w:space="0" w:color="auto"/>
                <w:bottom w:val="none" w:sz="0" w:space="0" w:color="auto"/>
                <w:right w:val="none" w:sz="0" w:space="0" w:color="auto"/>
              </w:divBdr>
            </w:div>
            <w:div w:id="2017613936">
              <w:marLeft w:val="0"/>
              <w:marRight w:val="0"/>
              <w:marTop w:val="0"/>
              <w:marBottom w:val="0"/>
              <w:divBdr>
                <w:top w:val="none" w:sz="0" w:space="0" w:color="auto"/>
                <w:left w:val="none" w:sz="0" w:space="0" w:color="auto"/>
                <w:bottom w:val="none" w:sz="0" w:space="0" w:color="auto"/>
                <w:right w:val="none" w:sz="0" w:space="0" w:color="auto"/>
              </w:divBdr>
            </w:div>
          </w:divsChild>
        </w:div>
        <w:div w:id="1966308191">
          <w:marLeft w:val="0"/>
          <w:marRight w:val="0"/>
          <w:marTop w:val="0"/>
          <w:marBottom w:val="0"/>
          <w:divBdr>
            <w:top w:val="none" w:sz="0" w:space="0" w:color="auto"/>
            <w:left w:val="none" w:sz="0" w:space="0" w:color="auto"/>
            <w:bottom w:val="none" w:sz="0" w:space="0" w:color="auto"/>
            <w:right w:val="none" w:sz="0" w:space="0" w:color="auto"/>
          </w:divBdr>
          <w:divsChild>
            <w:div w:id="990019008">
              <w:marLeft w:val="0"/>
              <w:marRight w:val="0"/>
              <w:marTop w:val="0"/>
              <w:marBottom w:val="0"/>
              <w:divBdr>
                <w:top w:val="none" w:sz="0" w:space="0" w:color="auto"/>
                <w:left w:val="none" w:sz="0" w:space="0" w:color="auto"/>
                <w:bottom w:val="none" w:sz="0" w:space="0" w:color="auto"/>
                <w:right w:val="none" w:sz="0" w:space="0" w:color="auto"/>
              </w:divBdr>
            </w:div>
            <w:div w:id="1345862960">
              <w:marLeft w:val="0"/>
              <w:marRight w:val="0"/>
              <w:marTop w:val="0"/>
              <w:marBottom w:val="0"/>
              <w:divBdr>
                <w:top w:val="none" w:sz="0" w:space="0" w:color="auto"/>
                <w:left w:val="none" w:sz="0" w:space="0" w:color="auto"/>
                <w:bottom w:val="none" w:sz="0" w:space="0" w:color="auto"/>
                <w:right w:val="none" w:sz="0" w:space="0" w:color="auto"/>
              </w:divBdr>
            </w:div>
          </w:divsChild>
        </w:div>
        <w:div w:id="152769505">
          <w:marLeft w:val="0"/>
          <w:marRight w:val="0"/>
          <w:marTop w:val="0"/>
          <w:marBottom w:val="0"/>
          <w:divBdr>
            <w:top w:val="none" w:sz="0" w:space="0" w:color="auto"/>
            <w:left w:val="none" w:sz="0" w:space="0" w:color="auto"/>
            <w:bottom w:val="none" w:sz="0" w:space="0" w:color="auto"/>
            <w:right w:val="none" w:sz="0" w:space="0" w:color="auto"/>
          </w:divBdr>
        </w:div>
      </w:divsChild>
    </w:div>
    <w:div w:id="620920316">
      <w:bodyDiv w:val="1"/>
      <w:marLeft w:val="0"/>
      <w:marRight w:val="0"/>
      <w:marTop w:val="0"/>
      <w:marBottom w:val="0"/>
      <w:divBdr>
        <w:top w:val="none" w:sz="0" w:space="0" w:color="auto"/>
        <w:left w:val="none" w:sz="0" w:space="0" w:color="auto"/>
        <w:bottom w:val="none" w:sz="0" w:space="0" w:color="auto"/>
        <w:right w:val="none" w:sz="0" w:space="0" w:color="auto"/>
      </w:divBdr>
      <w:divsChild>
        <w:div w:id="909001074">
          <w:marLeft w:val="0"/>
          <w:marRight w:val="0"/>
          <w:marTop w:val="0"/>
          <w:marBottom w:val="0"/>
          <w:divBdr>
            <w:top w:val="none" w:sz="0" w:space="0" w:color="auto"/>
            <w:left w:val="none" w:sz="0" w:space="0" w:color="auto"/>
            <w:bottom w:val="none" w:sz="0" w:space="0" w:color="auto"/>
            <w:right w:val="none" w:sz="0" w:space="0" w:color="auto"/>
          </w:divBdr>
          <w:divsChild>
            <w:div w:id="1990093543">
              <w:marLeft w:val="0"/>
              <w:marRight w:val="0"/>
              <w:marTop w:val="0"/>
              <w:marBottom w:val="0"/>
              <w:divBdr>
                <w:top w:val="none" w:sz="0" w:space="0" w:color="auto"/>
                <w:left w:val="none" w:sz="0" w:space="0" w:color="auto"/>
                <w:bottom w:val="none" w:sz="0" w:space="0" w:color="auto"/>
                <w:right w:val="none" w:sz="0" w:space="0" w:color="auto"/>
              </w:divBdr>
            </w:div>
            <w:div w:id="1462308810">
              <w:marLeft w:val="0"/>
              <w:marRight w:val="0"/>
              <w:marTop w:val="0"/>
              <w:marBottom w:val="0"/>
              <w:divBdr>
                <w:top w:val="none" w:sz="0" w:space="0" w:color="auto"/>
                <w:left w:val="none" w:sz="0" w:space="0" w:color="auto"/>
                <w:bottom w:val="none" w:sz="0" w:space="0" w:color="auto"/>
                <w:right w:val="none" w:sz="0" w:space="0" w:color="auto"/>
              </w:divBdr>
            </w:div>
            <w:div w:id="902639274">
              <w:marLeft w:val="0"/>
              <w:marRight w:val="0"/>
              <w:marTop w:val="0"/>
              <w:marBottom w:val="0"/>
              <w:divBdr>
                <w:top w:val="none" w:sz="0" w:space="0" w:color="auto"/>
                <w:left w:val="none" w:sz="0" w:space="0" w:color="auto"/>
                <w:bottom w:val="none" w:sz="0" w:space="0" w:color="auto"/>
                <w:right w:val="none" w:sz="0" w:space="0" w:color="auto"/>
              </w:divBdr>
            </w:div>
          </w:divsChild>
        </w:div>
        <w:div w:id="1533616239">
          <w:marLeft w:val="0"/>
          <w:marRight w:val="0"/>
          <w:marTop w:val="0"/>
          <w:marBottom w:val="0"/>
          <w:divBdr>
            <w:top w:val="none" w:sz="0" w:space="0" w:color="auto"/>
            <w:left w:val="none" w:sz="0" w:space="0" w:color="auto"/>
            <w:bottom w:val="none" w:sz="0" w:space="0" w:color="auto"/>
            <w:right w:val="none" w:sz="0" w:space="0" w:color="auto"/>
          </w:divBdr>
        </w:div>
        <w:div w:id="1125349450">
          <w:marLeft w:val="0"/>
          <w:marRight w:val="0"/>
          <w:marTop w:val="0"/>
          <w:marBottom w:val="0"/>
          <w:divBdr>
            <w:top w:val="none" w:sz="0" w:space="0" w:color="auto"/>
            <w:left w:val="none" w:sz="0" w:space="0" w:color="auto"/>
            <w:bottom w:val="none" w:sz="0" w:space="0" w:color="auto"/>
            <w:right w:val="none" w:sz="0" w:space="0" w:color="auto"/>
          </w:divBdr>
        </w:div>
        <w:div w:id="1610091037">
          <w:marLeft w:val="0"/>
          <w:marRight w:val="0"/>
          <w:marTop w:val="0"/>
          <w:marBottom w:val="0"/>
          <w:divBdr>
            <w:top w:val="none" w:sz="0" w:space="0" w:color="auto"/>
            <w:left w:val="none" w:sz="0" w:space="0" w:color="auto"/>
            <w:bottom w:val="none" w:sz="0" w:space="0" w:color="auto"/>
            <w:right w:val="none" w:sz="0" w:space="0" w:color="auto"/>
          </w:divBdr>
        </w:div>
        <w:div w:id="1681397025">
          <w:marLeft w:val="0"/>
          <w:marRight w:val="0"/>
          <w:marTop w:val="0"/>
          <w:marBottom w:val="0"/>
          <w:divBdr>
            <w:top w:val="none" w:sz="0" w:space="0" w:color="auto"/>
            <w:left w:val="none" w:sz="0" w:space="0" w:color="auto"/>
            <w:bottom w:val="none" w:sz="0" w:space="0" w:color="auto"/>
            <w:right w:val="none" w:sz="0" w:space="0" w:color="auto"/>
          </w:divBdr>
          <w:divsChild>
            <w:div w:id="31765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87900">
      <w:bodyDiv w:val="1"/>
      <w:marLeft w:val="0"/>
      <w:marRight w:val="0"/>
      <w:marTop w:val="0"/>
      <w:marBottom w:val="0"/>
      <w:divBdr>
        <w:top w:val="none" w:sz="0" w:space="0" w:color="auto"/>
        <w:left w:val="none" w:sz="0" w:space="0" w:color="auto"/>
        <w:bottom w:val="none" w:sz="0" w:space="0" w:color="auto"/>
        <w:right w:val="none" w:sz="0" w:space="0" w:color="auto"/>
      </w:divBdr>
      <w:divsChild>
        <w:div w:id="235629905">
          <w:marLeft w:val="0"/>
          <w:marRight w:val="0"/>
          <w:marTop w:val="0"/>
          <w:marBottom w:val="0"/>
          <w:divBdr>
            <w:top w:val="none" w:sz="0" w:space="0" w:color="auto"/>
            <w:left w:val="none" w:sz="0" w:space="0" w:color="auto"/>
            <w:bottom w:val="none" w:sz="0" w:space="0" w:color="auto"/>
            <w:right w:val="none" w:sz="0" w:space="0" w:color="auto"/>
          </w:divBdr>
          <w:divsChild>
            <w:div w:id="1706952294">
              <w:marLeft w:val="0"/>
              <w:marRight w:val="0"/>
              <w:marTop w:val="0"/>
              <w:marBottom w:val="0"/>
              <w:divBdr>
                <w:top w:val="none" w:sz="0" w:space="0" w:color="auto"/>
                <w:left w:val="none" w:sz="0" w:space="0" w:color="auto"/>
                <w:bottom w:val="none" w:sz="0" w:space="0" w:color="auto"/>
                <w:right w:val="none" w:sz="0" w:space="0" w:color="auto"/>
              </w:divBdr>
            </w:div>
            <w:div w:id="1932228490">
              <w:marLeft w:val="0"/>
              <w:marRight w:val="0"/>
              <w:marTop w:val="0"/>
              <w:marBottom w:val="0"/>
              <w:divBdr>
                <w:top w:val="none" w:sz="0" w:space="0" w:color="auto"/>
                <w:left w:val="none" w:sz="0" w:space="0" w:color="auto"/>
                <w:bottom w:val="none" w:sz="0" w:space="0" w:color="auto"/>
                <w:right w:val="none" w:sz="0" w:space="0" w:color="auto"/>
              </w:divBdr>
            </w:div>
          </w:divsChild>
        </w:div>
        <w:div w:id="1250311201">
          <w:marLeft w:val="0"/>
          <w:marRight w:val="0"/>
          <w:marTop w:val="0"/>
          <w:marBottom w:val="0"/>
          <w:divBdr>
            <w:top w:val="none" w:sz="0" w:space="0" w:color="auto"/>
            <w:left w:val="none" w:sz="0" w:space="0" w:color="auto"/>
            <w:bottom w:val="none" w:sz="0" w:space="0" w:color="auto"/>
            <w:right w:val="none" w:sz="0" w:space="0" w:color="auto"/>
          </w:divBdr>
          <w:divsChild>
            <w:div w:id="1595699609">
              <w:marLeft w:val="0"/>
              <w:marRight w:val="0"/>
              <w:marTop w:val="0"/>
              <w:marBottom w:val="0"/>
              <w:divBdr>
                <w:top w:val="none" w:sz="0" w:space="0" w:color="auto"/>
                <w:left w:val="none" w:sz="0" w:space="0" w:color="auto"/>
                <w:bottom w:val="none" w:sz="0" w:space="0" w:color="auto"/>
                <w:right w:val="none" w:sz="0" w:space="0" w:color="auto"/>
              </w:divBdr>
            </w:div>
            <w:div w:id="776096788">
              <w:marLeft w:val="0"/>
              <w:marRight w:val="0"/>
              <w:marTop w:val="0"/>
              <w:marBottom w:val="0"/>
              <w:divBdr>
                <w:top w:val="none" w:sz="0" w:space="0" w:color="auto"/>
                <w:left w:val="none" w:sz="0" w:space="0" w:color="auto"/>
                <w:bottom w:val="none" w:sz="0" w:space="0" w:color="auto"/>
                <w:right w:val="none" w:sz="0" w:space="0" w:color="auto"/>
              </w:divBdr>
            </w:div>
          </w:divsChild>
        </w:div>
        <w:div w:id="325282818">
          <w:marLeft w:val="0"/>
          <w:marRight w:val="0"/>
          <w:marTop w:val="0"/>
          <w:marBottom w:val="0"/>
          <w:divBdr>
            <w:top w:val="none" w:sz="0" w:space="0" w:color="auto"/>
            <w:left w:val="none" w:sz="0" w:space="0" w:color="auto"/>
            <w:bottom w:val="none" w:sz="0" w:space="0" w:color="auto"/>
            <w:right w:val="none" w:sz="0" w:space="0" w:color="auto"/>
          </w:divBdr>
          <w:divsChild>
            <w:div w:id="871771459">
              <w:marLeft w:val="0"/>
              <w:marRight w:val="0"/>
              <w:marTop w:val="0"/>
              <w:marBottom w:val="0"/>
              <w:divBdr>
                <w:top w:val="none" w:sz="0" w:space="0" w:color="auto"/>
                <w:left w:val="none" w:sz="0" w:space="0" w:color="auto"/>
                <w:bottom w:val="none" w:sz="0" w:space="0" w:color="auto"/>
                <w:right w:val="none" w:sz="0" w:space="0" w:color="auto"/>
              </w:divBdr>
              <w:divsChild>
                <w:div w:id="1658879667">
                  <w:marLeft w:val="0"/>
                  <w:marRight w:val="0"/>
                  <w:marTop w:val="0"/>
                  <w:marBottom w:val="0"/>
                  <w:divBdr>
                    <w:top w:val="none" w:sz="0" w:space="0" w:color="auto"/>
                    <w:left w:val="none" w:sz="0" w:space="0" w:color="auto"/>
                    <w:bottom w:val="none" w:sz="0" w:space="0" w:color="auto"/>
                    <w:right w:val="none" w:sz="0" w:space="0" w:color="auto"/>
                  </w:divBdr>
                </w:div>
                <w:div w:id="1452748421">
                  <w:marLeft w:val="0"/>
                  <w:marRight w:val="0"/>
                  <w:marTop w:val="0"/>
                  <w:marBottom w:val="0"/>
                  <w:divBdr>
                    <w:top w:val="none" w:sz="0" w:space="0" w:color="auto"/>
                    <w:left w:val="none" w:sz="0" w:space="0" w:color="auto"/>
                    <w:bottom w:val="none" w:sz="0" w:space="0" w:color="auto"/>
                    <w:right w:val="none" w:sz="0" w:space="0" w:color="auto"/>
                  </w:divBdr>
                </w:div>
              </w:divsChild>
            </w:div>
            <w:div w:id="1975596027">
              <w:marLeft w:val="0"/>
              <w:marRight w:val="0"/>
              <w:marTop w:val="0"/>
              <w:marBottom w:val="0"/>
              <w:divBdr>
                <w:top w:val="none" w:sz="0" w:space="0" w:color="auto"/>
                <w:left w:val="none" w:sz="0" w:space="0" w:color="auto"/>
                <w:bottom w:val="none" w:sz="0" w:space="0" w:color="auto"/>
                <w:right w:val="none" w:sz="0" w:space="0" w:color="auto"/>
              </w:divBdr>
              <w:divsChild>
                <w:div w:id="1851215020">
                  <w:marLeft w:val="0"/>
                  <w:marRight w:val="0"/>
                  <w:marTop w:val="0"/>
                  <w:marBottom w:val="0"/>
                  <w:divBdr>
                    <w:top w:val="none" w:sz="0" w:space="0" w:color="auto"/>
                    <w:left w:val="none" w:sz="0" w:space="0" w:color="auto"/>
                    <w:bottom w:val="none" w:sz="0" w:space="0" w:color="auto"/>
                    <w:right w:val="none" w:sz="0" w:space="0" w:color="auto"/>
                  </w:divBdr>
                </w:div>
                <w:div w:id="185408160">
                  <w:marLeft w:val="0"/>
                  <w:marRight w:val="0"/>
                  <w:marTop w:val="0"/>
                  <w:marBottom w:val="0"/>
                  <w:divBdr>
                    <w:top w:val="none" w:sz="0" w:space="0" w:color="auto"/>
                    <w:left w:val="none" w:sz="0" w:space="0" w:color="auto"/>
                    <w:bottom w:val="none" w:sz="0" w:space="0" w:color="auto"/>
                    <w:right w:val="none" w:sz="0" w:space="0" w:color="auto"/>
                  </w:divBdr>
                </w:div>
              </w:divsChild>
            </w:div>
            <w:div w:id="707923371">
              <w:marLeft w:val="0"/>
              <w:marRight w:val="0"/>
              <w:marTop w:val="0"/>
              <w:marBottom w:val="0"/>
              <w:divBdr>
                <w:top w:val="none" w:sz="0" w:space="0" w:color="auto"/>
                <w:left w:val="none" w:sz="0" w:space="0" w:color="auto"/>
                <w:bottom w:val="none" w:sz="0" w:space="0" w:color="auto"/>
                <w:right w:val="none" w:sz="0" w:space="0" w:color="auto"/>
              </w:divBdr>
              <w:divsChild>
                <w:div w:id="951865564">
                  <w:marLeft w:val="0"/>
                  <w:marRight w:val="0"/>
                  <w:marTop w:val="0"/>
                  <w:marBottom w:val="0"/>
                  <w:divBdr>
                    <w:top w:val="none" w:sz="0" w:space="0" w:color="auto"/>
                    <w:left w:val="none" w:sz="0" w:space="0" w:color="auto"/>
                    <w:bottom w:val="none" w:sz="0" w:space="0" w:color="auto"/>
                    <w:right w:val="none" w:sz="0" w:space="0" w:color="auto"/>
                  </w:divBdr>
                </w:div>
                <w:div w:id="870873331">
                  <w:marLeft w:val="0"/>
                  <w:marRight w:val="0"/>
                  <w:marTop w:val="0"/>
                  <w:marBottom w:val="0"/>
                  <w:divBdr>
                    <w:top w:val="none" w:sz="0" w:space="0" w:color="auto"/>
                    <w:left w:val="none" w:sz="0" w:space="0" w:color="auto"/>
                    <w:bottom w:val="none" w:sz="0" w:space="0" w:color="auto"/>
                    <w:right w:val="none" w:sz="0" w:space="0" w:color="auto"/>
                  </w:divBdr>
                </w:div>
              </w:divsChild>
            </w:div>
            <w:div w:id="1572278400">
              <w:marLeft w:val="0"/>
              <w:marRight w:val="0"/>
              <w:marTop w:val="0"/>
              <w:marBottom w:val="0"/>
              <w:divBdr>
                <w:top w:val="none" w:sz="0" w:space="0" w:color="auto"/>
                <w:left w:val="none" w:sz="0" w:space="0" w:color="auto"/>
                <w:bottom w:val="none" w:sz="0" w:space="0" w:color="auto"/>
                <w:right w:val="none" w:sz="0" w:space="0" w:color="auto"/>
              </w:divBdr>
            </w:div>
            <w:div w:id="49749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688797">
      <w:bodyDiv w:val="1"/>
      <w:marLeft w:val="0"/>
      <w:marRight w:val="0"/>
      <w:marTop w:val="0"/>
      <w:marBottom w:val="0"/>
      <w:divBdr>
        <w:top w:val="none" w:sz="0" w:space="0" w:color="auto"/>
        <w:left w:val="none" w:sz="0" w:space="0" w:color="auto"/>
        <w:bottom w:val="none" w:sz="0" w:space="0" w:color="auto"/>
        <w:right w:val="none" w:sz="0" w:space="0" w:color="auto"/>
      </w:divBdr>
      <w:divsChild>
        <w:div w:id="44984950">
          <w:marLeft w:val="0"/>
          <w:marRight w:val="0"/>
          <w:marTop w:val="0"/>
          <w:marBottom w:val="0"/>
          <w:divBdr>
            <w:top w:val="none" w:sz="0" w:space="0" w:color="auto"/>
            <w:left w:val="none" w:sz="0" w:space="0" w:color="auto"/>
            <w:bottom w:val="none" w:sz="0" w:space="0" w:color="auto"/>
            <w:right w:val="none" w:sz="0" w:space="0" w:color="auto"/>
          </w:divBdr>
        </w:div>
        <w:div w:id="1710447363">
          <w:marLeft w:val="0"/>
          <w:marRight w:val="0"/>
          <w:marTop w:val="0"/>
          <w:marBottom w:val="0"/>
          <w:divBdr>
            <w:top w:val="none" w:sz="0" w:space="0" w:color="auto"/>
            <w:left w:val="none" w:sz="0" w:space="0" w:color="auto"/>
            <w:bottom w:val="none" w:sz="0" w:space="0" w:color="auto"/>
            <w:right w:val="none" w:sz="0" w:space="0" w:color="auto"/>
          </w:divBdr>
        </w:div>
        <w:div w:id="421027764">
          <w:marLeft w:val="0"/>
          <w:marRight w:val="0"/>
          <w:marTop w:val="0"/>
          <w:marBottom w:val="0"/>
          <w:divBdr>
            <w:top w:val="none" w:sz="0" w:space="0" w:color="auto"/>
            <w:left w:val="none" w:sz="0" w:space="0" w:color="auto"/>
            <w:bottom w:val="none" w:sz="0" w:space="0" w:color="auto"/>
            <w:right w:val="none" w:sz="0" w:space="0" w:color="auto"/>
          </w:divBdr>
        </w:div>
      </w:divsChild>
    </w:div>
    <w:div w:id="998729085">
      <w:bodyDiv w:val="1"/>
      <w:marLeft w:val="0"/>
      <w:marRight w:val="0"/>
      <w:marTop w:val="0"/>
      <w:marBottom w:val="0"/>
      <w:divBdr>
        <w:top w:val="none" w:sz="0" w:space="0" w:color="auto"/>
        <w:left w:val="none" w:sz="0" w:space="0" w:color="auto"/>
        <w:bottom w:val="none" w:sz="0" w:space="0" w:color="auto"/>
        <w:right w:val="none" w:sz="0" w:space="0" w:color="auto"/>
      </w:divBdr>
      <w:divsChild>
        <w:div w:id="1641837957">
          <w:marLeft w:val="0"/>
          <w:marRight w:val="0"/>
          <w:marTop w:val="0"/>
          <w:marBottom w:val="0"/>
          <w:divBdr>
            <w:top w:val="none" w:sz="0" w:space="0" w:color="auto"/>
            <w:left w:val="none" w:sz="0" w:space="0" w:color="auto"/>
            <w:bottom w:val="none" w:sz="0" w:space="0" w:color="auto"/>
            <w:right w:val="none" w:sz="0" w:space="0" w:color="auto"/>
          </w:divBdr>
          <w:divsChild>
            <w:div w:id="1411806579">
              <w:marLeft w:val="0"/>
              <w:marRight w:val="0"/>
              <w:marTop w:val="0"/>
              <w:marBottom w:val="0"/>
              <w:divBdr>
                <w:top w:val="none" w:sz="0" w:space="0" w:color="auto"/>
                <w:left w:val="none" w:sz="0" w:space="0" w:color="auto"/>
                <w:bottom w:val="none" w:sz="0" w:space="0" w:color="auto"/>
                <w:right w:val="none" w:sz="0" w:space="0" w:color="auto"/>
              </w:divBdr>
            </w:div>
            <w:div w:id="1903251240">
              <w:marLeft w:val="0"/>
              <w:marRight w:val="0"/>
              <w:marTop w:val="0"/>
              <w:marBottom w:val="0"/>
              <w:divBdr>
                <w:top w:val="none" w:sz="0" w:space="0" w:color="auto"/>
                <w:left w:val="none" w:sz="0" w:space="0" w:color="auto"/>
                <w:bottom w:val="none" w:sz="0" w:space="0" w:color="auto"/>
                <w:right w:val="none" w:sz="0" w:space="0" w:color="auto"/>
              </w:divBdr>
            </w:div>
            <w:div w:id="1278296718">
              <w:marLeft w:val="0"/>
              <w:marRight w:val="0"/>
              <w:marTop w:val="0"/>
              <w:marBottom w:val="0"/>
              <w:divBdr>
                <w:top w:val="none" w:sz="0" w:space="0" w:color="auto"/>
                <w:left w:val="none" w:sz="0" w:space="0" w:color="auto"/>
                <w:bottom w:val="none" w:sz="0" w:space="0" w:color="auto"/>
                <w:right w:val="none" w:sz="0" w:space="0" w:color="auto"/>
              </w:divBdr>
            </w:div>
          </w:divsChild>
        </w:div>
        <w:div w:id="346293797">
          <w:marLeft w:val="0"/>
          <w:marRight w:val="0"/>
          <w:marTop w:val="0"/>
          <w:marBottom w:val="0"/>
          <w:divBdr>
            <w:top w:val="none" w:sz="0" w:space="0" w:color="auto"/>
            <w:left w:val="none" w:sz="0" w:space="0" w:color="auto"/>
            <w:bottom w:val="none" w:sz="0" w:space="0" w:color="auto"/>
            <w:right w:val="none" w:sz="0" w:space="0" w:color="auto"/>
          </w:divBdr>
        </w:div>
        <w:div w:id="849568933">
          <w:marLeft w:val="0"/>
          <w:marRight w:val="0"/>
          <w:marTop w:val="0"/>
          <w:marBottom w:val="0"/>
          <w:divBdr>
            <w:top w:val="none" w:sz="0" w:space="0" w:color="auto"/>
            <w:left w:val="none" w:sz="0" w:space="0" w:color="auto"/>
            <w:bottom w:val="none" w:sz="0" w:space="0" w:color="auto"/>
            <w:right w:val="none" w:sz="0" w:space="0" w:color="auto"/>
          </w:divBdr>
        </w:div>
        <w:div w:id="959723170">
          <w:marLeft w:val="0"/>
          <w:marRight w:val="0"/>
          <w:marTop w:val="0"/>
          <w:marBottom w:val="0"/>
          <w:divBdr>
            <w:top w:val="none" w:sz="0" w:space="0" w:color="auto"/>
            <w:left w:val="none" w:sz="0" w:space="0" w:color="auto"/>
            <w:bottom w:val="none" w:sz="0" w:space="0" w:color="auto"/>
            <w:right w:val="none" w:sz="0" w:space="0" w:color="auto"/>
          </w:divBdr>
        </w:div>
        <w:div w:id="1256859018">
          <w:marLeft w:val="0"/>
          <w:marRight w:val="0"/>
          <w:marTop w:val="0"/>
          <w:marBottom w:val="0"/>
          <w:divBdr>
            <w:top w:val="none" w:sz="0" w:space="0" w:color="auto"/>
            <w:left w:val="none" w:sz="0" w:space="0" w:color="auto"/>
            <w:bottom w:val="none" w:sz="0" w:space="0" w:color="auto"/>
            <w:right w:val="none" w:sz="0" w:space="0" w:color="auto"/>
          </w:divBdr>
          <w:divsChild>
            <w:div w:id="7008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13006">
      <w:bodyDiv w:val="1"/>
      <w:marLeft w:val="0"/>
      <w:marRight w:val="0"/>
      <w:marTop w:val="0"/>
      <w:marBottom w:val="0"/>
      <w:divBdr>
        <w:top w:val="none" w:sz="0" w:space="0" w:color="auto"/>
        <w:left w:val="none" w:sz="0" w:space="0" w:color="auto"/>
        <w:bottom w:val="none" w:sz="0" w:space="0" w:color="auto"/>
        <w:right w:val="none" w:sz="0" w:space="0" w:color="auto"/>
      </w:divBdr>
      <w:divsChild>
        <w:div w:id="1301765489">
          <w:marLeft w:val="0"/>
          <w:marRight w:val="0"/>
          <w:marTop w:val="0"/>
          <w:marBottom w:val="0"/>
          <w:divBdr>
            <w:top w:val="none" w:sz="0" w:space="0" w:color="auto"/>
            <w:left w:val="none" w:sz="0" w:space="0" w:color="auto"/>
            <w:bottom w:val="none" w:sz="0" w:space="0" w:color="auto"/>
            <w:right w:val="none" w:sz="0" w:space="0" w:color="auto"/>
          </w:divBdr>
        </w:div>
        <w:div w:id="1487168367">
          <w:marLeft w:val="0"/>
          <w:marRight w:val="0"/>
          <w:marTop w:val="0"/>
          <w:marBottom w:val="0"/>
          <w:divBdr>
            <w:top w:val="none" w:sz="0" w:space="0" w:color="auto"/>
            <w:left w:val="none" w:sz="0" w:space="0" w:color="auto"/>
            <w:bottom w:val="none" w:sz="0" w:space="0" w:color="auto"/>
            <w:right w:val="none" w:sz="0" w:space="0" w:color="auto"/>
          </w:divBdr>
        </w:div>
      </w:divsChild>
    </w:div>
    <w:div w:id="1225028882">
      <w:bodyDiv w:val="1"/>
      <w:marLeft w:val="0"/>
      <w:marRight w:val="0"/>
      <w:marTop w:val="0"/>
      <w:marBottom w:val="0"/>
      <w:divBdr>
        <w:top w:val="none" w:sz="0" w:space="0" w:color="auto"/>
        <w:left w:val="none" w:sz="0" w:space="0" w:color="auto"/>
        <w:bottom w:val="none" w:sz="0" w:space="0" w:color="auto"/>
        <w:right w:val="none" w:sz="0" w:space="0" w:color="auto"/>
      </w:divBdr>
      <w:divsChild>
        <w:div w:id="2086877455">
          <w:marLeft w:val="0"/>
          <w:marRight w:val="0"/>
          <w:marTop w:val="0"/>
          <w:marBottom w:val="0"/>
          <w:divBdr>
            <w:top w:val="none" w:sz="0" w:space="0" w:color="auto"/>
            <w:left w:val="none" w:sz="0" w:space="0" w:color="auto"/>
            <w:bottom w:val="none" w:sz="0" w:space="0" w:color="auto"/>
            <w:right w:val="none" w:sz="0" w:space="0" w:color="auto"/>
          </w:divBdr>
        </w:div>
        <w:div w:id="546140727">
          <w:marLeft w:val="0"/>
          <w:marRight w:val="0"/>
          <w:marTop w:val="0"/>
          <w:marBottom w:val="0"/>
          <w:divBdr>
            <w:top w:val="none" w:sz="0" w:space="0" w:color="auto"/>
            <w:left w:val="none" w:sz="0" w:space="0" w:color="auto"/>
            <w:bottom w:val="none" w:sz="0" w:space="0" w:color="auto"/>
            <w:right w:val="none" w:sz="0" w:space="0" w:color="auto"/>
          </w:divBdr>
        </w:div>
      </w:divsChild>
    </w:div>
    <w:div w:id="1266965240">
      <w:bodyDiv w:val="1"/>
      <w:marLeft w:val="0"/>
      <w:marRight w:val="0"/>
      <w:marTop w:val="0"/>
      <w:marBottom w:val="0"/>
      <w:divBdr>
        <w:top w:val="none" w:sz="0" w:space="0" w:color="auto"/>
        <w:left w:val="none" w:sz="0" w:space="0" w:color="auto"/>
        <w:bottom w:val="none" w:sz="0" w:space="0" w:color="auto"/>
        <w:right w:val="none" w:sz="0" w:space="0" w:color="auto"/>
      </w:divBdr>
      <w:divsChild>
        <w:div w:id="1347518134">
          <w:marLeft w:val="0"/>
          <w:marRight w:val="0"/>
          <w:marTop w:val="0"/>
          <w:marBottom w:val="0"/>
          <w:divBdr>
            <w:top w:val="none" w:sz="0" w:space="0" w:color="auto"/>
            <w:left w:val="none" w:sz="0" w:space="0" w:color="auto"/>
            <w:bottom w:val="none" w:sz="0" w:space="0" w:color="auto"/>
            <w:right w:val="none" w:sz="0" w:space="0" w:color="auto"/>
          </w:divBdr>
          <w:divsChild>
            <w:div w:id="1580165744">
              <w:marLeft w:val="0"/>
              <w:marRight w:val="0"/>
              <w:marTop w:val="0"/>
              <w:marBottom w:val="0"/>
              <w:divBdr>
                <w:top w:val="none" w:sz="0" w:space="0" w:color="auto"/>
                <w:left w:val="none" w:sz="0" w:space="0" w:color="auto"/>
                <w:bottom w:val="none" w:sz="0" w:space="0" w:color="auto"/>
                <w:right w:val="none" w:sz="0" w:space="0" w:color="auto"/>
              </w:divBdr>
            </w:div>
            <w:div w:id="2138405532">
              <w:marLeft w:val="0"/>
              <w:marRight w:val="0"/>
              <w:marTop w:val="0"/>
              <w:marBottom w:val="0"/>
              <w:divBdr>
                <w:top w:val="none" w:sz="0" w:space="0" w:color="auto"/>
                <w:left w:val="none" w:sz="0" w:space="0" w:color="auto"/>
                <w:bottom w:val="none" w:sz="0" w:space="0" w:color="auto"/>
                <w:right w:val="none" w:sz="0" w:space="0" w:color="auto"/>
              </w:divBdr>
            </w:div>
          </w:divsChild>
        </w:div>
        <w:div w:id="1072967668">
          <w:marLeft w:val="0"/>
          <w:marRight w:val="0"/>
          <w:marTop w:val="0"/>
          <w:marBottom w:val="0"/>
          <w:divBdr>
            <w:top w:val="none" w:sz="0" w:space="0" w:color="auto"/>
            <w:left w:val="none" w:sz="0" w:space="0" w:color="auto"/>
            <w:bottom w:val="none" w:sz="0" w:space="0" w:color="auto"/>
            <w:right w:val="none" w:sz="0" w:space="0" w:color="auto"/>
          </w:divBdr>
          <w:divsChild>
            <w:div w:id="1224759708">
              <w:marLeft w:val="0"/>
              <w:marRight w:val="0"/>
              <w:marTop w:val="0"/>
              <w:marBottom w:val="0"/>
              <w:divBdr>
                <w:top w:val="none" w:sz="0" w:space="0" w:color="auto"/>
                <w:left w:val="none" w:sz="0" w:space="0" w:color="auto"/>
                <w:bottom w:val="none" w:sz="0" w:space="0" w:color="auto"/>
                <w:right w:val="none" w:sz="0" w:space="0" w:color="auto"/>
              </w:divBdr>
            </w:div>
            <w:div w:id="1619332492">
              <w:marLeft w:val="0"/>
              <w:marRight w:val="0"/>
              <w:marTop w:val="0"/>
              <w:marBottom w:val="0"/>
              <w:divBdr>
                <w:top w:val="none" w:sz="0" w:space="0" w:color="auto"/>
                <w:left w:val="none" w:sz="0" w:space="0" w:color="auto"/>
                <w:bottom w:val="none" w:sz="0" w:space="0" w:color="auto"/>
                <w:right w:val="none" w:sz="0" w:space="0" w:color="auto"/>
              </w:divBdr>
              <w:divsChild>
                <w:div w:id="1227761591">
                  <w:marLeft w:val="0"/>
                  <w:marRight w:val="0"/>
                  <w:marTop w:val="0"/>
                  <w:marBottom w:val="0"/>
                  <w:divBdr>
                    <w:top w:val="none" w:sz="0" w:space="0" w:color="auto"/>
                    <w:left w:val="none" w:sz="0" w:space="0" w:color="auto"/>
                    <w:bottom w:val="none" w:sz="0" w:space="0" w:color="auto"/>
                    <w:right w:val="none" w:sz="0" w:space="0" w:color="auto"/>
                  </w:divBdr>
                </w:div>
                <w:div w:id="88783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09509">
          <w:marLeft w:val="0"/>
          <w:marRight w:val="0"/>
          <w:marTop w:val="0"/>
          <w:marBottom w:val="0"/>
          <w:divBdr>
            <w:top w:val="none" w:sz="0" w:space="0" w:color="auto"/>
            <w:left w:val="none" w:sz="0" w:space="0" w:color="auto"/>
            <w:bottom w:val="none" w:sz="0" w:space="0" w:color="auto"/>
            <w:right w:val="none" w:sz="0" w:space="0" w:color="auto"/>
          </w:divBdr>
          <w:divsChild>
            <w:div w:id="1262488593">
              <w:marLeft w:val="0"/>
              <w:marRight w:val="0"/>
              <w:marTop w:val="0"/>
              <w:marBottom w:val="0"/>
              <w:divBdr>
                <w:top w:val="none" w:sz="0" w:space="0" w:color="auto"/>
                <w:left w:val="none" w:sz="0" w:space="0" w:color="auto"/>
                <w:bottom w:val="none" w:sz="0" w:space="0" w:color="auto"/>
                <w:right w:val="none" w:sz="0" w:space="0" w:color="auto"/>
              </w:divBdr>
            </w:div>
            <w:div w:id="1853255912">
              <w:marLeft w:val="0"/>
              <w:marRight w:val="0"/>
              <w:marTop w:val="0"/>
              <w:marBottom w:val="0"/>
              <w:divBdr>
                <w:top w:val="none" w:sz="0" w:space="0" w:color="auto"/>
                <w:left w:val="none" w:sz="0" w:space="0" w:color="auto"/>
                <w:bottom w:val="none" w:sz="0" w:space="0" w:color="auto"/>
                <w:right w:val="none" w:sz="0" w:space="0" w:color="auto"/>
              </w:divBdr>
            </w:div>
            <w:div w:id="69153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069917">
      <w:bodyDiv w:val="1"/>
      <w:marLeft w:val="0"/>
      <w:marRight w:val="0"/>
      <w:marTop w:val="0"/>
      <w:marBottom w:val="0"/>
      <w:divBdr>
        <w:top w:val="none" w:sz="0" w:space="0" w:color="auto"/>
        <w:left w:val="none" w:sz="0" w:space="0" w:color="auto"/>
        <w:bottom w:val="none" w:sz="0" w:space="0" w:color="auto"/>
        <w:right w:val="none" w:sz="0" w:space="0" w:color="auto"/>
      </w:divBdr>
    </w:div>
    <w:div w:id="1305161973">
      <w:bodyDiv w:val="1"/>
      <w:marLeft w:val="0"/>
      <w:marRight w:val="0"/>
      <w:marTop w:val="0"/>
      <w:marBottom w:val="0"/>
      <w:divBdr>
        <w:top w:val="none" w:sz="0" w:space="0" w:color="auto"/>
        <w:left w:val="none" w:sz="0" w:space="0" w:color="auto"/>
        <w:bottom w:val="none" w:sz="0" w:space="0" w:color="auto"/>
        <w:right w:val="none" w:sz="0" w:space="0" w:color="auto"/>
      </w:divBdr>
      <w:divsChild>
        <w:div w:id="1513448830">
          <w:marLeft w:val="0"/>
          <w:marRight w:val="0"/>
          <w:marTop w:val="0"/>
          <w:marBottom w:val="0"/>
          <w:divBdr>
            <w:top w:val="none" w:sz="0" w:space="0" w:color="auto"/>
            <w:left w:val="none" w:sz="0" w:space="0" w:color="auto"/>
            <w:bottom w:val="none" w:sz="0" w:space="0" w:color="auto"/>
            <w:right w:val="none" w:sz="0" w:space="0" w:color="auto"/>
          </w:divBdr>
        </w:div>
        <w:div w:id="389233886">
          <w:marLeft w:val="0"/>
          <w:marRight w:val="0"/>
          <w:marTop w:val="0"/>
          <w:marBottom w:val="0"/>
          <w:divBdr>
            <w:top w:val="none" w:sz="0" w:space="0" w:color="auto"/>
            <w:left w:val="none" w:sz="0" w:space="0" w:color="auto"/>
            <w:bottom w:val="none" w:sz="0" w:space="0" w:color="auto"/>
            <w:right w:val="none" w:sz="0" w:space="0" w:color="auto"/>
          </w:divBdr>
          <w:divsChild>
            <w:div w:id="743528212">
              <w:marLeft w:val="0"/>
              <w:marRight w:val="0"/>
              <w:marTop w:val="0"/>
              <w:marBottom w:val="0"/>
              <w:divBdr>
                <w:top w:val="none" w:sz="0" w:space="0" w:color="auto"/>
                <w:left w:val="none" w:sz="0" w:space="0" w:color="auto"/>
                <w:bottom w:val="none" w:sz="0" w:space="0" w:color="auto"/>
                <w:right w:val="none" w:sz="0" w:space="0" w:color="auto"/>
              </w:divBdr>
            </w:div>
            <w:div w:id="1174536423">
              <w:marLeft w:val="0"/>
              <w:marRight w:val="0"/>
              <w:marTop w:val="0"/>
              <w:marBottom w:val="0"/>
              <w:divBdr>
                <w:top w:val="none" w:sz="0" w:space="0" w:color="auto"/>
                <w:left w:val="none" w:sz="0" w:space="0" w:color="auto"/>
                <w:bottom w:val="none" w:sz="0" w:space="0" w:color="auto"/>
                <w:right w:val="none" w:sz="0" w:space="0" w:color="auto"/>
              </w:divBdr>
            </w:div>
          </w:divsChild>
        </w:div>
        <w:div w:id="523789865">
          <w:marLeft w:val="0"/>
          <w:marRight w:val="0"/>
          <w:marTop w:val="0"/>
          <w:marBottom w:val="0"/>
          <w:divBdr>
            <w:top w:val="none" w:sz="0" w:space="0" w:color="auto"/>
            <w:left w:val="none" w:sz="0" w:space="0" w:color="auto"/>
            <w:bottom w:val="none" w:sz="0" w:space="0" w:color="auto"/>
            <w:right w:val="none" w:sz="0" w:space="0" w:color="auto"/>
          </w:divBdr>
        </w:div>
      </w:divsChild>
    </w:div>
    <w:div w:id="1440838012">
      <w:bodyDiv w:val="1"/>
      <w:marLeft w:val="0"/>
      <w:marRight w:val="0"/>
      <w:marTop w:val="0"/>
      <w:marBottom w:val="0"/>
      <w:divBdr>
        <w:top w:val="none" w:sz="0" w:space="0" w:color="auto"/>
        <w:left w:val="none" w:sz="0" w:space="0" w:color="auto"/>
        <w:bottom w:val="none" w:sz="0" w:space="0" w:color="auto"/>
        <w:right w:val="none" w:sz="0" w:space="0" w:color="auto"/>
      </w:divBdr>
      <w:divsChild>
        <w:div w:id="447315934">
          <w:marLeft w:val="0"/>
          <w:marRight w:val="0"/>
          <w:marTop w:val="0"/>
          <w:marBottom w:val="0"/>
          <w:divBdr>
            <w:top w:val="none" w:sz="0" w:space="0" w:color="auto"/>
            <w:left w:val="none" w:sz="0" w:space="0" w:color="auto"/>
            <w:bottom w:val="none" w:sz="0" w:space="0" w:color="auto"/>
            <w:right w:val="none" w:sz="0" w:space="0" w:color="auto"/>
          </w:divBdr>
          <w:divsChild>
            <w:div w:id="201752034">
              <w:marLeft w:val="0"/>
              <w:marRight w:val="0"/>
              <w:marTop w:val="0"/>
              <w:marBottom w:val="0"/>
              <w:divBdr>
                <w:top w:val="none" w:sz="0" w:space="0" w:color="auto"/>
                <w:left w:val="none" w:sz="0" w:space="0" w:color="auto"/>
                <w:bottom w:val="none" w:sz="0" w:space="0" w:color="auto"/>
                <w:right w:val="none" w:sz="0" w:space="0" w:color="auto"/>
              </w:divBdr>
            </w:div>
            <w:div w:id="2068524573">
              <w:marLeft w:val="0"/>
              <w:marRight w:val="0"/>
              <w:marTop w:val="0"/>
              <w:marBottom w:val="0"/>
              <w:divBdr>
                <w:top w:val="none" w:sz="0" w:space="0" w:color="auto"/>
                <w:left w:val="none" w:sz="0" w:space="0" w:color="auto"/>
                <w:bottom w:val="none" w:sz="0" w:space="0" w:color="auto"/>
                <w:right w:val="none" w:sz="0" w:space="0" w:color="auto"/>
              </w:divBdr>
            </w:div>
          </w:divsChild>
        </w:div>
        <w:div w:id="212623822">
          <w:marLeft w:val="0"/>
          <w:marRight w:val="0"/>
          <w:marTop w:val="0"/>
          <w:marBottom w:val="0"/>
          <w:divBdr>
            <w:top w:val="none" w:sz="0" w:space="0" w:color="auto"/>
            <w:left w:val="none" w:sz="0" w:space="0" w:color="auto"/>
            <w:bottom w:val="none" w:sz="0" w:space="0" w:color="auto"/>
            <w:right w:val="none" w:sz="0" w:space="0" w:color="auto"/>
          </w:divBdr>
          <w:divsChild>
            <w:div w:id="352419709">
              <w:marLeft w:val="0"/>
              <w:marRight w:val="0"/>
              <w:marTop w:val="0"/>
              <w:marBottom w:val="0"/>
              <w:divBdr>
                <w:top w:val="none" w:sz="0" w:space="0" w:color="auto"/>
                <w:left w:val="none" w:sz="0" w:space="0" w:color="auto"/>
                <w:bottom w:val="none" w:sz="0" w:space="0" w:color="auto"/>
                <w:right w:val="none" w:sz="0" w:space="0" w:color="auto"/>
              </w:divBdr>
            </w:div>
            <w:div w:id="77531707">
              <w:marLeft w:val="0"/>
              <w:marRight w:val="0"/>
              <w:marTop w:val="0"/>
              <w:marBottom w:val="0"/>
              <w:divBdr>
                <w:top w:val="none" w:sz="0" w:space="0" w:color="auto"/>
                <w:left w:val="none" w:sz="0" w:space="0" w:color="auto"/>
                <w:bottom w:val="none" w:sz="0" w:space="0" w:color="auto"/>
                <w:right w:val="none" w:sz="0" w:space="0" w:color="auto"/>
              </w:divBdr>
            </w:div>
          </w:divsChild>
        </w:div>
        <w:div w:id="1304777185">
          <w:marLeft w:val="0"/>
          <w:marRight w:val="0"/>
          <w:marTop w:val="0"/>
          <w:marBottom w:val="0"/>
          <w:divBdr>
            <w:top w:val="none" w:sz="0" w:space="0" w:color="auto"/>
            <w:left w:val="none" w:sz="0" w:space="0" w:color="auto"/>
            <w:bottom w:val="none" w:sz="0" w:space="0" w:color="auto"/>
            <w:right w:val="none" w:sz="0" w:space="0" w:color="auto"/>
          </w:divBdr>
        </w:div>
      </w:divsChild>
    </w:div>
    <w:div w:id="1450540239">
      <w:bodyDiv w:val="1"/>
      <w:marLeft w:val="0"/>
      <w:marRight w:val="0"/>
      <w:marTop w:val="0"/>
      <w:marBottom w:val="0"/>
      <w:divBdr>
        <w:top w:val="none" w:sz="0" w:space="0" w:color="auto"/>
        <w:left w:val="none" w:sz="0" w:space="0" w:color="auto"/>
        <w:bottom w:val="none" w:sz="0" w:space="0" w:color="auto"/>
        <w:right w:val="none" w:sz="0" w:space="0" w:color="auto"/>
      </w:divBdr>
      <w:divsChild>
        <w:div w:id="2139060804">
          <w:marLeft w:val="0"/>
          <w:marRight w:val="0"/>
          <w:marTop w:val="0"/>
          <w:marBottom w:val="0"/>
          <w:divBdr>
            <w:top w:val="none" w:sz="0" w:space="0" w:color="auto"/>
            <w:left w:val="none" w:sz="0" w:space="0" w:color="auto"/>
            <w:bottom w:val="none" w:sz="0" w:space="0" w:color="auto"/>
            <w:right w:val="none" w:sz="0" w:space="0" w:color="auto"/>
          </w:divBdr>
        </w:div>
        <w:div w:id="833685040">
          <w:marLeft w:val="0"/>
          <w:marRight w:val="0"/>
          <w:marTop w:val="0"/>
          <w:marBottom w:val="0"/>
          <w:divBdr>
            <w:top w:val="none" w:sz="0" w:space="0" w:color="auto"/>
            <w:left w:val="none" w:sz="0" w:space="0" w:color="auto"/>
            <w:bottom w:val="none" w:sz="0" w:space="0" w:color="auto"/>
            <w:right w:val="none" w:sz="0" w:space="0" w:color="auto"/>
          </w:divBdr>
        </w:div>
      </w:divsChild>
    </w:div>
    <w:div w:id="1614360207">
      <w:bodyDiv w:val="1"/>
      <w:marLeft w:val="0"/>
      <w:marRight w:val="0"/>
      <w:marTop w:val="0"/>
      <w:marBottom w:val="0"/>
      <w:divBdr>
        <w:top w:val="none" w:sz="0" w:space="0" w:color="auto"/>
        <w:left w:val="none" w:sz="0" w:space="0" w:color="auto"/>
        <w:bottom w:val="none" w:sz="0" w:space="0" w:color="auto"/>
        <w:right w:val="none" w:sz="0" w:space="0" w:color="auto"/>
      </w:divBdr>
      <w:divsChild>
        <w:div w:id="1131510470">
          <w:marLeft w:val="0"/>
          <w:marRight w:val="0"/>
          <w:marTop w:val="0"/>
          <w:marBottom w:val="0"/>
          <w:divBdr>
            <w:top w:val="none" w:sz="0" w:space="0" w:color="auto"/>
            <w:left w:val="none" w:sz="0" w:space="0" w:color="auto"/>
            <w:bottom w:val="none" w:sz="0" w:space="0" w:color="auto"/>
            <w:right w:val="none" w:sz="0" w:space="0" w:color="auto"/>
          </w:divBdr>
        </w:div>
        <w:div w:id="407968015">
          <w:marLeft w:val="0"/>
          <w:marRight w:val="0"/>
          <w:marTop w:val="0"/>
          <w:marBottom w:val="0"/>
          <w:divBdr>
            <w:top w:val="none" w:sz="0" w:space="0" w:color="auto"/>
            <w:left w:val="none" w:sz="0" w:space="0" w:color="auto"/>
            <w:bottom w:val="none" w:sz="0" w:space="0" w:color="auto"/>
            <w:right w:val="none" w:sz="0" w:space="0" w:color="auto"/>
          </w:divBdr>
        </w:div>
      </w:divsChild>
    </w:div>
    <w:div w:id="1641417899">
      <w:bodyDiv w:val="1"/>
      <w:marLeft w:val="0"/>
      <w:marRight w:val="0"/>
      <w:marTop w:val="0"/>
      <w:marBottom w:val="0"/>
      <w:divBdr>
        <w:top w:val="none" w:sz="0" w:space="0" w:color="auto"/>
        <w:left w:val="none" w:sz="0" w:space="0" w:color="auto"/>
        <w:bottom w:val="none" w:sz="0" w:space="0" w:color="auto"/>
        <w:right w:val="none" w:sz="0" w:space="0" w:color="auto"/>
      </w:divBdr>
    </w:div>
    <w:div w:id="1731224208">
      <w:bodyDiv w:val="1"/>
      <w:marLeft w:val="0"/>
      <w:marRight w:val="0"/>
      <w:marTop w:val="0"/>
      <w:marBottom w:val="0"/>
      <w:divBdr>
        <w:top w:val="none" w:sz="0" w:space="0" w:color="auto"/>
        <w:left w:val="none" w:sz="0" w:space="0" w:color="auto"/>
        <w:bottom w:val="none" w:sz="0" w:space="0" w:color="auto"/>
        <w:right w:val="none" w:sz="0" w:space="0" w:color="auto"/>
      </w:divBdr>
    </w:div>
    <w:div w:id="1789083088">
      <w:bodyDiv w:val="1"/>
      <w:marLeft w:val="0"/>
      <w:marRight w:val="0"/>
      <w:marTop w:val="0"/>
      <w:marBottom w:val="0"/>
      <w:divBdr>
        <w:top w:val="none" w:sz="0" w:space="0" w:color="auto"/>
        <w:left w:val="none" w:sz="0" w:space="0" w:color="auto"/>
        <w:bottom w:val="none" w:sz="0" w:space="0" w:color="auto"/>
        <w:right w:val="none" w:sz="0" w:space="0" w:color="auto"/>
      </w:divBdr>
      <w:divsChild>
        <w:div w:id="1006522563">
          <w:marLeft w:val="0"/>
          <w:marRight w:val="0"/>
          <w:marTop w:val="0"/>
          <w:marBottom w:val="0"/>
          <w:divBdr>
            <w:top w:val="none" w:sz="0" w:space="0" w:color="auto"/>
            <w:left w:val="none" w:sz="0" w:space="0" w:color="auto"/>
            <w:bottom w:val="none" w:sz="0" w:space="0" w:color="auto"/>
            <w:right w:val="none" w:sz="0" w:space="0" w:color="auto"/>
          </w:divBdr>
        </w:div>
        <w:div w:id="1643273134">
          <w:marLeft w:val="0"/>
          <w:marRight w:val="0"/>
          <w:marTop w:val="0"/>
          <w:marBottom w:val="0"/>
          <w:divBdr>
            <w:top w:val="none" w:sz="0" w:space="0" w:color="auto"/>
            <w:left w:val="none" w:sz="0" w:space="0" w:color="auto"/>
            <w:bottom w:val="none" w:sz="0" w:space="0" w:color="auto"/>
            <w:right w:val="none" w:sz="0" w:space="0" w:color="auto"/>
          </w:divBdr>
          <w:divsChild>
            <w:div w:id="1493523266">
              <w:marLeft w:val="0"/>
              <w:marRight w:val="0"/>
              <w:marTop w:val="0"/>
              <w:marBottom w:val="0"/>
              <w:divBdr>
                <w:top w:val="none" w:sz="0" w:space="0" w:color="auto"/>
                <w:left w:val="none" w:sz="0" w:space="0" w:color="auto"/>
                <w:bottom w:val="none" w:sz="0" w:space="0" w:color="auto"/>
                <w:right w:val="none" w:sz="0" w:space="0" w:color="auto"/>
              </w:divBdr>
            </w:div>
            <w:div w:id="383725210">
              <w:marLeft w:val="0"/>
              <w:marRight w:val="0"/>
              <w:marTop w:val="0"/>
              <w:marBottom w:val="0"/>
              <w:divBdr>
                <w:top w:val="none" w:sz="0" w:space="0" w:color="auto"/>
                <w:left w:val="none" w:sz="0" w:space="0" w:color="auto"/>
                <w:bottom w:val="none" w:sz="0" w:space="0" w:color="auto"/>
                <w:right w:val="none" w:sz="0" w:space="0" w:color="auto"/>
              </w:divBdr>
            </w:div>
          </w:divsChild>
        </w:div>
        <w:div w:id="1268195737">
          <w:marLeft w:val="0"/>
          <w:marRight w:val="0"/>
          <w:marTop w:val="0"/>
          <w:marBottom w:val="0"/>
          <w:divBdr>
            <w:top w:val="none" w:sz="0" w:space="0" w:color="auto"/>
            <w:left w:val="none" w:sz="0" w:space="0" w:color="auto"/>
            <w:bottom w:val="none" w:sz="0" w:space="0" w:color="auto"/>
            <w:right w:val="none" w:sz="0" w:space="0" w:color="auto"/>
          </w:divBdr>
        </w:div>
      </w:divsChild>
    </w:div>
    <w:div w:id="1850025906">
      <w:bodyDiv w:val="1"/>
      <w:marLeft w:val="0"/>
      <w:marRight w:val="0"/>
      <w:marTop w:val="0"/>
      <w:marBottom w:val="0"/>
      <w:divBdr>
        <w:top w:val="none" w:sz="0" w:space="0" w:color="auto"/>
        <w:left w:val="none" w:sz="0" w:space="0" w:color="auto"/>
        <w:bottom w:val="none" w:sz="0" w:space="0" w:color="auto"/>
        <w:right w:val="none" w:sz="0" w:space="0" w:color="auto"/>
      </w:divBdr>
      <w:divsChild>
        <w:div w:id="869684383">
          <w:marLeft w:val="0"/>
          <w:marRight w:val="0"/>
          <w:marTop w:val="0"/>
          <w:marBottom w:val="0"/>
          <w:divBdr>
            <w:top w:val="none" w:sz="0" w:space="0" w:color="auto"/>
            <w:left w:val="none" w:sz="0" w:space="0" w:color="auto"/>
            <w:bottom w:val="none" w:sz="0" w:space="0" w:color="auto"/>
            <w:right w:val="none" w:sz="0" w:space="0" w:color="auto"/>
          </w:divBdr>
          <w:divsChild>
            <w:div w:id="1656256921">
              <w:marLeft w:val="0"/>
              <w:marRight w:val="0"/>
              <w:marTop w:val="0"/>
              <w:marBottom w:val="0"/>
              <w:divBdr>
                <w:top w:val="none" w:sz="0" w:space="0" w:color="auto"/>
                <w:left w:val="none" w:sz="0" w:space="0" w:color="auto"/>
                <w:bottom w:val="none" w:sz="0" w:space="0" w:color="auto"/>
                <w:right w:val="none" w:sz="0" w:space="0" w:color="auto"/>
              </w:divBdr>
            </w:div>
            <w:div w:id="560599086">
              <w:marLeft w:val="0"/>
              <w:marRight w:val="0"/>
              <w:marTop w:val="0"/>
              <w:marBottom w:val="0"/>
              <w:divBdr>
                <w:top w:val="none" w:sz="0" w:space="0" w:color="auto"/>
                <w:left w:val="none" w:sz="0" w:space="0" w:color="auto"/>
                <w:bottom w:val="none" w:sz="0" w:space="0" w:color="auto"/>
                <w:right w:val="none" w:sz="0" w:space="0" w:color="auto"/>
              </w:divBdr>
            </w:div>
            <w:div w:id="1192231020">
              <w:marLeft w:val="0"/>
              <w:marRight w:val="0"/>
              <w:marTop w:val="0"/>
              <w:marBottom w:val="0"/>
              <w:divBdr>
                <w:top w:val="none" w:sz="0" w:space="0" w:color="auto"/>
                <w:left w:val="none" w:sz="0" w:space="0" w:color="auto"/>
                <w:bottom w:val="none" w:sz="0" w:space="0" w:color="auto"/>
                <w:right w:val="none" w:sz="0" w:space="0" w:color="auto"/>
              </w:divBdr>
            </w:div>
          </w:divsChild>
        </w:div>
        <w:div w:id="136535038">
          <w:marLeft w:val="0"/>
          <w:marRight w:val="0"/>
          <w:marTop w:val="0"/>
          <w:marBottom w:val="0"/>
          <w:divBdr>
            <w:top w:val="none" w:sz="0" w:space="0" w:color="auto"/>
            <w:left w:val="none" w:sz="0" w:space="0" w:color="auto"/>
            <w:bottom w:val="none" w:sz="0" w:space="0" w:color="auto"/>
            <w:right w:val="none" w:sz="0" w:space="0" w:color="auto"/>
          </w:divBdr>
        </w:div>
        <w:div w:id="1243490759">
          <w:marLeft w:val="0"/>
          <w:marRight w:val="0"/>
          <w:marTop w:val="0"/>
          <w:marBottom w:val="0"/>
          <w:divBdr>
            <w:top w:val="none" w:sz="0" w:space="0" w:color="auto"/>
            <w:left w:val="none" w:sz="0" w:space="0" w:color="auto"/>
            <w:bottom w:val="none" w:sz="0" w:space="0" w:color="auto"/>
            <w:right w:val="none" w:sz="0" w:space="0" w:color="auto"/>
          </w:divBdr>
        </w:div>
        <w:div w:id="1447044953">
          <w:marLeft w:val="0"/>
          <w:marRight w:val="0"/>
          <w:marTop w:val="0"/>
          <w:marBottom w:val="0"/>
          <w:divBdr>
            <w:top w:val="none" w:sz="0" w:space="0" w:color="auto"/>
            <w:left w:val="none" w:sz="0" w:space="0" w:color="auto"/>
            <w:bottom w:val="none" w:sz="0" w:space="0" w:color="auto"/>
            <w:right w:val="none" w:sz="0" w:space="0" w:color="auto"/>
          </w:divBdr>
        </w:div>
        <w:div w:id="1547258695">
          <w:marLeft w:val="0"/>
          <w:marRight w:val="0"/>
          <w:marTop w:val="0"/>
          <w:marBottom w:val="0"/>
          <w:divBdr>
            <w:top w:val="none" w:sz="0" w:space="0" w:color="auto"/>
            <w:left w:val="none" w:sz="0" w:space="0" w:color="auto"/>
            <w:bottom w:val="none" w:sz="0" w:space="0" w:color="auto"/>
            <w:right w:val="none" w:sz="0" w:space="0" w:color="auto"/>
          </w:divBdr>
          <w:divsChild>
            <w:div w:id="24511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458053">
      <w:bodyDiv w:val="1"/>
      <w:marLeft w:val="0"/>
      <w:marRight w:val="0"/>
      <w:marTop w:val="0"/>
      <w:marBottom w:val="0"/>
      <w:divBdr>
        <w:top w:val="none" w:sz="0" w:space="0" w:color="auto"/>
        <w:left w:val="none" w:sz="0" w:space="0" w:color="auto"/>
        <w:bottom w:val="none" w:sz="0" w:space="0" w:color="auto"/>
        <w:right w:val="none" w:sz="0" w:space="0" w:color="auto"/>
      </w:divBdr>
      <w:divsChild>
        <w:div w:id="215627978">
          <w:marLeft w:val="0"/>
          <w:marRight w:val="0"/>
          <w:marTop w:val="0"/>
          <w:marBottom w:val="0"/>
          <w:divBdr>
            <w:top w:val="none" w:sz="0" w:space="0" w:color="auto"/>
            <w:left w:val="none" w:sz="0" w:space="0" w:color="auto"/>
            <w:bottom w:val="none" w:sz="0" w:space="0" w:color="auto"/>
            <w:right w:val="none" w:sz="0" w:space="0" w:color="auto"/>
          </w:divBdr>
          <w:divsChild>
            <w:div w:id="1297220567">
              <w:marLeft w:val="0"/>
              <w:marRight w:val="0"/>
              <w:marTop w:val="0"/>
              <w:marBottom w:val="0"/>
              <w:divBdr>
                <w:top w:val="none" w:sz="0" w:space="0" w:color="auto"/>
                <w:left w:val="none" w:sz="0" w:space="0" w:color="auto"/>
                <w:bottom w:val="none" w:sz="0" w:space="0" w:color="auto"/>
                <w:right w:val="none" w:sz="0" w:space="0" w:color="auto"/>
              </w:divBdr>
            </w:div>
            <w:div w:id="1429888981">
              <w:marLeft w:val="0"/>
              <w:marRight w:val="0"/>
              <w:marTop w:val="0"/>
              <w:marBottom w:val="0"/>
              <w:divBdr>
                <w:top w:val="none" w:sz="0" w:space="0" w:color="auto"/>
                <w:left w:val="none" w:sz="0" w:space="0" w:color="auto"/>
                <w:bottom w:val="none" w:sz="0" w:space="0" w:color="auto"/>
                <w:right w:val="none" w:sz="0" w:space="0" w:color="auto"/>
              </w:divBdr>
            </w:div>
          </w:divsChild>
        </w:div>
        <w:div w:id="2022660459">
          <w:marLeft w:val="0"/>
          <w:marRight w:val="0"/>
          <w:marTop w:val="0"/>
          <w:marBottom w:val="0"/>
          <w:divBdr>
            <w:top w:val="none" w:sz="0" w:space="0" w:color="auto"/>
            <w:left w:val="none" w:sz="0" w:space="0" w:color="auto"/>
            <w:bottom w:val="none" w:sz="0" w:space="0" w:color="auto"/>
            <w:right w:val="none" w:sz="0" w:space="0" w:color="auto"/>
          </w:divBdr>
          <w:divsChild>
            <w:div w:id="1108742001">
              <w:marLeft w:val="0"/>
              <w:marRight w:val="0"/>
              <w:marTop w:val="0"/>
              <w:marBottom w:val="0"/>
              <w:divBdr>
                <w:top w:val="none" w:sz="0" w:space="0" w:color="auto"/>
                <w:left w:val="none" w:sz="0" w:space="0" w:color="auto"/>
                <w:bottom w:val="none" w:sz="0" w:space="0" w:color="auto"/>
                <w:right w:val="none" w:sz="0" w:space="0" w:color="auto"/>
              </w:divBdr>
            </w:div>
            <w:div w:id="459957869">
              <w:marLeft w:val="0"/>
              <w:marRight w:val="0"/>
              <w:marTop w:val="0"/>
              <w:marBottom w:val="0"/>
              <w:divBdr>
                <w:top w:val="none" w:sz="0" w:space="0" w:color="auto"/>
                <w:left w:val="none" w:sz="0" w:space="0" w:color="auto"/>
                <w:bottom w:val="none" w:sz="0" w:space="0" w:color="auto"/>
                <w:right w:val="none" w:sz="0" w:space="0" w:color="auto"/>
              </w:divBdr>
              <w:divsChild>
                <w:div w:id="2076857461">
                  <w:marLeft w:val="0"/>
                  <w:marRight w:val="0"/>
                  <w:marTop w:val="0"/>
                  <w:marBottom w:val="0"/>
                  <w:divBdr>
                    <w:top w:val="none" w:sz="0" w:space="0" w:color="auto"/>
                    <w:left w:val="none" w:sz="0" w:space="0" w:color="auto"/>
                    <w:bottom w:val="none" w:sz="0" w:space="0" w:color="auto"/>
                    <w:right w:val="none" w:sz="0" w:space="0" w:color="auto"/>
                  </w:divBdr>
                </w:div>
                <w:div w:id="102840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1267">
          <w:marLeft w:val="0"/>
          <w:marRight w:val="0"/>
          <w:marTop w:val="0"/>
          <w:marBottom w:val="0"/>
          <w:divBdr>
            <w:top w:val="none" w:sz="0" w:space="0" w:color="auto"/>
            <w:left w:val="none" w:sz="0" w:space="0" w:color="auto"/>
            <w:bottom w:val="none" w:sz="0" w:space="0" w:color="auto"/>
            <w:right w:val="none" w:sz="0" w:space="0" w:color="auto"/>
          </w:divBdr>
          <w:divsChild>
            <w:div w:id="2126001205">
              <w:marLeft w:val="0"/>
              <w:marRight w:val="0"/>
              <w:marTop w:val="0"/>
              <w:marBottom w:val="0"/>
              <w:divBdr>
                <w:top w:val="none" w:sz="0" w:space="0" w:color="auto"/>
                <w:left w:val="none" w:sz="0" w:space="0" w:color="auto"/>
                <w:bottom w:val="none" w:sz="0" w:space="0" w:color="auto"/>
                <w:right w:val="none" w:sz="0" w:space="0" w:color="auto"/>
              </w:divBdr>
            </w:div>
            <w:div w:id="2104379237">
              <w:marLeft w:val="0"/>
              <w:marRight w:val="0"/>
              <w:marTop w:val="0"/>
              <w:marBottom w:val="0"/>
              <w:divBdr>
                <w:top w:val="none" w:sz="0" w:space="0" w:color="auto"/>
                <w:left w:val="none" w:sz="0" w:space="0" w:color="auto"/>
                <w:bottom w:val="none" w:sz="0" w:space="0" w:color="auto"/>
                <w:right w:val="none" w:sz="0" w:space="0" w:color="auto"/>
              </w:divBdr>
            </w:div>
            <w:div w:id="50509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911148">
      <w:bodyDiv w:val="1"/>
      <w:marLeft w:val="0"/>
      <w:marRight w:val="0"/>
      <w:marTop w:val="0"/>
      <w:marBottom w:val="0"/>
      <w:divBdr>
        <w:top w:val="none" w:sz="0" w:space="0" w:color="auto"/>
        <w:left w:val="none" w:sz="0" w:space="0" w:color="auto"/>
        <w:bottom w:val="none" w:sz="0" w:space="0" w:color="auto"/>
        <w:right w:val="none" w:sz="0" w:space="0" w:color="auto"/>
      </w:divBdr>
      <w:divsChild>
        <w:div w:id="1042824530">
          <w:marLeft w:val="0"/>
          <w:marRight w:val="0"/>
          <w:marTop w:val="0"/>
          <w:marBottom w:val="0"/>
          <w:divBdr>
            <w:top w:val="none" w:sz="0" w:space="0" w:color="auto"/>
            <w:left w:val="none" w:sz="0" w:space="0" w:color="auto"/>
            <w:bottom w:val="none" w:sz="0" w:space="0" w:color="auto"/>
            <w:right w:val="none" w:sz="0" w:space="0" w:color="auto"/>
          </w:divBdr>
          <w:divsChild>
            <w:div w:id="855655117">
              <w:marLeft w:val="0"/>
              <w:marRight w:val="0"/>
              <w:marTop w:val="0"/>
              <w:marBottom w:val="0"/>
              <w:divBdr>
                <w:top w:val="none" w:sz="0" w:space="0" w:color="auto"/>
                <w:left w:val="none" w:sz="0" w:space="0" w:color="auto"/>
                <w:bottom w:val="none" w:sz="0" w:space="0" w:color="auto"/>
                <w:right w:val="none" w:sz="0" w:space="0" w:color="auto"/>
              </w:divBdr>
            </w:div>
            <w:div w:id="1245452348">
              <w:marLeft w:val="0"/>
              <w:marRight w:val="0"/>
              <w:marTop w:val="0"/>
              <w:marBottom w:val="0"/>
              <w:divBdr>
                <w:top w:val="none" w:sz="0" w:space="0" w:color="auto"/>
                <w:left w:val="none" w:sz="0" w:space="0" w:color="auto"/>
                <w:bottom w:val="none" w:sz="0" w:space="0" w:color="auto"/>
                <w:right w:val="none" w:sz="0" w:space="0" w:color="auto"/>
              </w:divBdr>
            </w:div>
            <w:div w:id="1326594887">
              <w:marLeft w:val="0"/>
              <w:marRight w:val="0"/>
              <w:marTop w:val="0"/>
              <w:marBottom w:val="0"/>
              <w:divBdr>
                <w:top w:val="none" w:sz="0" w:space="0" w:color="auto"/>
                <w:left w:val="none" w:sz="0" w:space="0" w:color="auto"/>
                <w:bottom w:val="none" w:sz="0" w:space="0" w:color="auto"/>
                <w:right w:val="none" w:sz="0" w:space="0" w:color="auto"/>
              </w:divBdr>
            </w:div>
          </w:divsChild>
        </w:div>
        <w:div w:id="485365055">
          <w:marLeft w:val="0"/>
          <w:marRight w:val="0"/>
          <w:marTop w:val="0"/>
          <w:marBottom w:val="0"/>
          <w:divBdr>
            <w:top w:val="none" w:sz="0" w:space="0" w:color="auto"/>
            <w:left w:val="none" w:sz="0" w:space="0" w:color="auto"/>
            <w:bottom w:val="none" w:sz="0" w:space="0" w:color="auto"/>
            <w:right w:val="none" w:sz="0" w:space="0" w:color="auto"/>
          </w:divBdr>
        </w:div>
        <w:div w:id="824856768">
          <w:marLeft w:val="0"/>
          <w:marRight w:val="0"/>
          <w:marTop w:val="0"/>
          <w:marBottom w:val="0"/>
          <w:divBdr>
            <w:top w:val="none" w:sz="0" w:space="0" w:color="auto"/>
            <w:left w:val="none" w:sz="0" w:space="0" w:color="auto"/>
            <w:bottom w:val="none" w:sz="0" w:space="0" w:color="auto"/>
            <w:right w:val="none" w:sz="0" w:space="0" w:color="auto"/>
          </w:divBdr>
        </w:div>
        <w:div w:id="1980181993">
          <w:marLeft w:val="0"/>
          <w:marRight w:val="0"/>
          <w:marTop w:val="0"/>
          <w:marBottom w:val="0"/>
          <w:divBdr>
            <w:top w:val="none" w:sz="0" w:space="0" w:color="auto"/>
            <w:left w:val="none" w:sz="0" w:space="0" w:color="auto"/>
            <w:bottom w:val="none" w:sz="0" w:space="0" w:color="auto"/>
            <w:right w:val="none" w:sz="0" w:space="0" w:color="auto"/>
          </w:divBdr>
        </w:div>
        <w:div w:id="1419406276">
          <w:marLeft w:val="0"/>
          <w:marRight w:val="0"/>
          <w:marTop w:val="0"/>
          <w:marBottom w:val="0"/>
          <w:divBdr>
            <w:top w:val="none" w:sz="0" w:space="0" w:color="auto"/>
            <w:left w:val="none" w:sz="0" w:space="0" w:color="auto"/>
            <w:bottom w:val="none" w:sz="0" w:space="0" w:color="auto"/>
            <w:right w:val="none" w:sz="0" w:space="0" w:color="auto"/>
          </w:divBdr>
          <w:divsChild>
            <w:div w:id="129416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208787">
      <w:bodyDiv w:val="1"/>
      <w:marLeft w:val="0"/>
      <w:marRight w:val="0"/>
      <w:marTop w:val="0"/>
      <w:marBottom w:val="0"/>
      <w:divBdr>
        <w:top w:val="none" w:sz="0" w:space="0" w:color="auto"/>
        <w:left w:val="none" w:sz="0" w:space="0" w:color="auto"/>
        <w:bottom w:val="none" w:sz="0" w:space="0" w:color="auto"/>
        <w:right w:val="none" w:sz="0" w:space="0" w:color="auto"/>
      </w:divBdr>
      <w:divsChild>
        <w:div w:id="1463420055">
          <w:marLeft w:val="0"/>
          <w:marRight w:val="0"/>
          <w:marTop w:val="0"/>
          <w:marBottom w:val="0"/>
          <w:divBdr>
            <w:top w:val="none" w:sz="0" w:space="0" w:color="auto"/>
            <w:left w:val="none" w:sz="0" w:space="0" w:color="auto"/>
            <w:bottom w:val="none" w:sz="0" w:space="0" w:color="auto"/>
            <w:right w:val="none" w:sz="0" w:space="0" w:color="auto"/>
          </w:divBdr>
          <w:divsChild>
            <w:div w:id="1100030959">
              <w:marLeft w:val="0"/>
              <w:marRight w:val="0"/>
              <w:marTop w:val="0"/>
              <w:marBottom w:val="0"/>
              <w:divBdr>
                <w:top w:val="none" w:sz="0" w:space="0" w:color="auto"/>
                <w:left w:val="none" w:sz="0" w:space="0" w:color="auto"/>
                <w:bottom w:val="none" w:sz="0" w:space="0" w:color="auto"/>
                <w:right w:val="none" w:sz="0" w:space="0" w:color="auto"/>
              </w:divBdr>
            </w:div>
            <w:div w:id="475487214">
              <w:marLeft w:val="0"/>
              <w:marRight w:val="0"/>
              <w:marTop w:val="0"/>
              <w:marBottom w:val="0"/>
              <w:divBdr>
                <w:top w:val="none" w:sz="0" w:space="0" w:color="auto"/>
                <w:left w:val="none" w:sz="0" w:space="0" w:color="auto"/>
                <w:bottom w:val="none" w:sz="0" w:space="0" w:color="auto"/>
                <w:right w:val="none" w:sz="0" w:space="0" w:color="auto"/>
              </w:divBdr>
            </w:div>
          </w:divsChild>
        </w:div>
        <w:div w:id="843515846">
          <w:marLeft w:val="0"/>
          <w:marRight w:val="0"/>
          <w:marTop w:val="0"/>
          <w:marBottom w:val="0"/>
          <w:divBdr>
            <w:top w:val="none" w:sz="0" w:space="0" w:color="auto"/>
            <w:left w:val="none" w:sz="0" w:space="0" w:color="auto"/>
            <w:bottom w:val="none" w:sz="0" w:space="0" w:color="auto"/>
            <w:right w:val="none" w:sz="0" w:space="0" w:color="auto"/>
          </w:divBdr>
          <w:divsChild>
            <w:div w:id="704141566">
              <w:marLeft w:val="0"/>
              <w:marRight w:val="0"/>
              <w:marTop w:val="0"/>
              <w:marBottom w:val="0"/>
              <w:divBdr>
                <w:top w:val="none" w:sz="0" w:space="0" w:color="auto"/>
                <w:left w:val="none" w:sz="0" w:space="0" w:color="auto"/>
                <w:bottom w:val="none" w:sz="0" w:space="0" w:color="auto"/>
                <w:right w:val="none" w:sz="0" w:space="0" w:color="auto"/>
              </w:divBdr>
            </w:div>
            <w:div w:id="523789897">
              <w:marLeft w:val="0"/>
              <w:marRight w:val="0"/>
              <w:marTop w:val="0"/>
              <w:marBottom w:val="0"/>
              <w:divBdr>
                <w:top w:val="none" w:sz="0" w:space="0" w:color="auto"/>
                <w:left w:val="none" w:sz="0" w:space="0" w:color="auto"/>
                <w:bottom w:val="none" w:sz="0" w:space="0" w:color="auto"/>
                <w:right w:val="none" w:sz="0" w:space="0" w:color="auto"/>
              </w:divBdr>
            </w:div>
          </w:divsChild>
        </w:div>
        <w:div w:id="1985043319">
          <w:marLeft w:val="0"/>
          <w:marRight w:val="0"/>
          <w:marTop w:val="0"/>
          <w:marBottom w:val="0"/>
          <w:divBdr>
            <w:top w:val="none" w:sz="0" w:space="0" w:color="auto"/>
            <w:left w:val="none" w:sz="0" w:space="0" w:color="auto"/>
            <w:bottom w:val="none" w:sz="0" w:space="0" w:color="auto"/>
            <w:right w:val="none" w:sz="0" w:space="0" w:color="auto"/>
          </w:divBdr>
          <w:divsChild>
            <w:div w:id="248513879">
              <w:marLeft w:val="0"/>
              <w:marRight w:val="0"/>
              <w:marTop w:val="0"/>
              <w:marBottom w:val="0"/>
              <w:divBdr>
                <w:top w:val="none" w:sz="0" w:space="0" w:color="auto"/>
                <w:left w:val="none" w:sz="0" w:space="0" w:color="auto"/>
                <w:bottom w:val="none" w:sz="0" w:space="0" w:color="auto"/>
                <w:right w:val="none" w:sz="0" w:space="0" w:color="auto"/>
              </w:divBdr>
              <w:divsChild>
                <w:div w:id="1166825094">
                  <w:marLeft w:val="0"/>
                  <w:marRight w:val="0"/>
                  <w:marTop w:val="0"/>
                  <w:marBottom w:val="0"/>
                  <w:divBdr>
                    <w:top w:val="none" w:sz="0" w:space="0" w:color="auto"/>
                    <w:left w:val="none" w:sz="0" w:space="0" w:color="auto"/>
                    <w:bottom w:val="none" w:sz="0" w:space="0" w:color="auto"/>
                    <w:right w:val="none" w:sz="0" w:space="0" w:color="auto"/>
                  </w:divBdr>
                </w:div>
                <w:div w:id="2123264869">
                  <w:marLeft w:val="0"/>
                  <w:marRight w:val="0"/>
                  <w:marTop w:val="0"/>
                  <w:marBottom w:val="0"/>
                  <w:divBdr>
                    <w:top w:val="none" w:sz="0" w:space="0" w:color="auto"/>
                    <w:left w:val="none" w:sz="0" w:space="0" w:color="auto"/>
                    <w:bottom w:val="none" w:sz="0" w:space="0" w:color="auto"/>
                    <w:right w:val="none" w:sz="0" w:space="0" w:color="auto"/>
                  </w:divBdr>
                </w:div>
              </w:divsChild>
            </w:div>
            <w:div w:id="1708407000">
              <w:marLeft w:val="0"/>
              <w:marRight w:val="0"/>
              <w:marTop w:val="0"/>
              <w:marBottom w:val="0"/>
              <w:divBdr>
                <w:top w:val="none" w:sz="0" w:space="0" w:color="auto"/>
                <w:left w:val="none" w:sz="0" w:space="0" w:color="auto"/>
                <w:bottom w:val="none" w:sz="0" w:space="0" w:color="auto"/>
                <w:right w:val="none" w:sz="0" w:space="0" w:color="auto"/>
              </w:divBdr>
              <w:divsChild>
                <w:div w:id="1758281857">
                  <w:marLeft w:val="0"/>
                  <w:marRight w:val="0"/>
                  <w:marTop w:val="0"/>
                  <w:marBottom w:val="0"/>
                  <w:divBdr>
                    <w:top w:val="none" w:sz="0" w:space="0" w:color="auto"/>
                    <w:left w:val="none" w:sz="0" w:space="0" w:color="auto"/>
                    <w:bottom w:val="none" w:sz="0" w:space="0" w:color="auto"/>
                    <w:right w:val="none" w:sz="0" w:space="0" w:color="auto"/>
                  </w:divBdr>
                </w:div>
                <w:div w:id="691030811">
                  <w:marLeft w:val="0"/>
                  <w:marRight w:val="0"/>
                  <w:marTop w:val="0"/>
                  <w:marBottom w:val="0"/>
                  <w:divBdr>
                    <w:top w:val="none" w:sz="0" w:space="0" w:color="auto"/>
                    <w:left w:val="none" w:sz="0" w:space="0" w:color="auto"/>
                    <w:bottom w:val="none" w:sz="0" w:space="0" w:color="auto"/>
                    <w:right w:val="none" w:sz="0" w:space="0" w:color="auto"/>
                  </w:divBdr>
                </w:div>
              </w:divsChild>
            </w:div>
            <w:div w:id="367409958">
              <w:marLeft w:val="0"/>
              <w:marRight w:val="0"/>
              <w:marTop w:val="0"/>
              <w:marBottom w:val="0"/>
              <w:divBdr>
                <w:top w:val="none" w:sz="0" w:space="0" w:color="auto"/>
                <w:left w:val="none" w:sz="0" w:space="0" w:color="auto"/>
                <w:bottom w:val="none" w:sz="0" w:space="0" w:color="auto"/>
                <w:right w:val="none" w:sz="0" w:space="0" w:color="auto"/>
              </w:divBdr>
              <w:divsChild>
                <w:div w:id="1210730196">
                  <w:marLeft w:val="0"/>
                  <w:marRight w:val="0"/>
                  <w:marTop w:val="0"/>
                  <w:marBottom w:val="0"/>
                  <w:divBdr>
                    <w:top w:val="none" w:sz="0" w:space="0" w:color="auto"/>
                    <w:left w:val="none" w:sz="0" w:space="0" w:color="auto"/>
                    <w:bottom w:val="none" w:sz="0" w:space="0" w:color="auto"/>
                    <w:right w:val="none" w:sz="0" w:space="0" w:color="auto"/>
                  </w:divBdr>
                </w:div>
                <w:div w:id="1119103286">
                  <w:marLeft w:val="0"/>
                  <w:marRight w:val="0"/>
                  <w:marTop w:val="0"/>
                  <w:marBottom w:val="0"/>
                  <w:divBdr>
                    <w:top w:val="none" w:sz="0" w:space="0" w:color="auto"/>
                    <w:left w:val="none" w:sz="0" w:space="0" w:color="auto"/>
                    <w:bottom w:val="none" w:sz="0" w:space="0" w:color="auto"/>
                    <w:right w:val="none" w:sz="0" w:space="0" w:color="auto"/>
                  </w:divBdr>
                </w:div>
              </w:divsChild>
            </w:div>
            <w:div w:id="698091647">
              <w:marLeft w:val="0"/>
              <w:marRight w:val="0"/>
              <w:marTop w:val="0"/>
              <w:marBottom w:val="0"/>
              <w:divBdr>
                <w:top w:val="none" w:sz="0" w:space="0" w:color="auto"/>
                <w:left w:val="none" w:sz="0" w:space="0" w:color="auto"/>
                <w:bottom w:val="none" w:sz="0" w:space="0" w:color="auto"/>
                <w:right w:val="none" w:sz="0" w:space="0" w:color="auto"/>
              </w:divBdr>
            </w:div>
            <w:div w:id="17382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uk.westlaw.com/Document/I449DC620E45311DA8D70A0E70A78ED65/View/FullText.html?originationContext=document&amp;transitionType=DocumentItem&amp;ppcid=be25842ec29d4ee4bb6687a473ec8e6f&amp;contextData=(sc.Search)" TargetMode="External"/><Relationship Id="rId26" Type="http://schemas.openxmlformats.org/officeDocument/2006/relationships/hyperlink" Target="https://uk.westlaw.com/Document/I28C688A0E44F11DA8D70A0E70A78ED65/View/FullText.html?originationContext=document&amp;transitionType=DocumentItem&amp;ppcid=50726c8891c44f87bae95afbe73c5b2e&amp;contextData=(sc.Search)" TargetMode="External"/><Relationship Id="rId39" Type="http://schemas.openxmlformats.org/officeDocument/2006/relationships/footer" Target="footer6.xml"/><Relationship Id="rId21" Type="http://schemas.openxmlformats.org/officeDocument/2006/relationships/hyperlink" Target="https://uk.westlaw.com/Document/I44919121E45311DA8D70A0E70A78ED65/View/FullText.html?originationContext=document&amp;transitionType=DocumentItem&amp;ppcid=50726c8891c44f87bae95afbe73c5b2e&amp;contextData=(sc.Search)" TargetMode="External"/><Relationship Id="rId34" Type="http://schemas.openxmlformats.org/officeDocument/2006/relationships/header" Target="header4.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uk.westlaw.com/Document/I4491B830E45311DA8D70A0E70A78ED65/View/FullText.html?originationContext=document&amp;transitionType=DocumentItem&amp;ppcid=50726c8891c44f87bae95afbe73c5b2e&amp;contextData=(sc.Search)" TargetMode="External"/><Relationship Id="rId29" Type="http://schemas.openxmlformats.org/officeDocument/2006/relationships/hyperlink" Target="https://uk.westlaw.com/Document/I44A36B70E45311DA8D70A0E70A78ED65/View/FullText.html?navigationPath=Search%2Fv1%2Fresults%2Fnavigation%2Fi0ad7403500000181d3ab191f8e01bbe5%3Fppcid%3D4d8d5ce580544642bb1d697d29d847df%26Nav%3DLEGISLATION_PRIMARY_SECONDARY_WLUK%26fragmentIdentifier%3DI44A36B70E45311DA8D70A0E70A78ED65%26parentRank%3D0%26startIndex%3D1%26contextData%3D%2528sc.Search%2529%26transitionType%3DSearchItem&amp;listSource=Search&amp;listPageSource=4a130a90cdaaf4b175364d5f60c2f8cc&amp;list=LEGISLATION_PRIMARY_SECONDARY_WLUK&amp;rank=1&amp;sessionScopeId=f3358aae65a7cc2fb40e69bca469a5b1fac71225d7776a8d4c73708a0547c65a&amp;ppcid=4d8d5ce580544642bb1d697d29d847df&amp;originationContext=Search%20Result&amp;transitionType=SearchItem&amp;contextData=(sc.Search)&amp;comp=wluk&amp;navId=914290D182B481F6DDB5A96BEE7F524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uk.westlaw.com/Document/I28C688A0E44F11DA8D70A0E70A78ED65/View/FullText.html?originationContext=document&amp;transitionType=DocumentItem&amp;ppcid=50726c8891c44f87bae95afbe73c5b2e&amp;contextData=(sc.Search)" TargetMode="External"/><Relationship Id="rId32" Type="http://schemas.openxmlformats.org/officeDocument/2006/relationships/hyperlink" Target="https://uk.westlaw.com/Document/I44919121E45311DA8D70A0E70A78ED65/View/FullText.html?originationContext=document&amp;transitionType=DocumentItem&amp;ppcid=fa938b4c83a74040a8f3ee5ff8167881&amp;contextData=(sc.Search)" TargetMode="External"/><Relationship Id="rId37" Type="http://schemas.openxmlformats.org/officeDocument/2006/relationships/footer" Target="footer5.xm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uk.westlaw.com/Document/I256B0420E4A811DA9407CBB86AE37856/View/FullText.html?originationContext=document&amp;transitionType=DocumentItem&amp;ppcid=50726c8891c44f87bae95afbe73c5b2e&amp;contextData=(sc.Search)" TargetMode="External"/><Relationship Id="rId28" Type="http://schemas.openxmlformats.org/officeDocument/2006/relationships/hyperlink" Target="https://uk.westlaw.com/Document/I44A42EC0E45311DA8D70A0E70A78ED65/View/FullText.html?originationContext=document&amp;transitionType=DocumentItem&amp;ppcid=fa938b4c83a74040a8f3ee5ff8167881&amp;contextData=(sc.Search)" TargetMode="External"/><Relationship Id="rId36" Type="http://schemas.openxmlformats.org/officeDocument/2006/relationships/footer" Target="footer4.xml"/><Relationship Id="rId10" Type="http://schemas.openxmlformats.org/officeDocument/2006/relationships/image" Target="media/image1.png"/><Relationship Id="rId19" Type="http://schemas.openxmlformats.org/officeDocument/2006/relationships/hyperlink" Target="https://uk.westlaw.com/Document/I449D50F1E45311DA8D70A0E70A78ED65/View/FullText.html?originationContext=document&amp;transitionType=DocumentItem&amp;ppcid=50726c8891c44f87bae95afbe73c5b2e&amp;contextData=(sc.Search)" TargetMode="External"/><Relationship Id="rId31" Type="http://schemas.openxmlformats.org/officeDocument/2006/relationships/hyperlink" Target="https://uk.westlaw.com/Document/I4491B830E45311DA8D70A0E70A78ED65/View/FullText.html?originationContext=document&amp;transitionType=DocumentItem&amp;ppcid=fa938b4c83a74040a8f3ee5ff8167881&amp;contextData=(sc.Sear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uk.westlaw.com/Document/I44A16FA0E45311DA8D70A0E70A78ED65/View/FullText.html?originationContext=document&amp;transitionType=DocumentItem&amp;ppcid=50726c8891c44f87bae95afbe73c5b2e&amp;contextData=(sc.Search)" TargetMode="External"/><Relationship Id="rId27" Type="http://schemas.openxmlformats.org/officeDocument/2006/relationships/hyperlink" Target="https://uk.westlaw.com/Document/I449D50F1E45311DA8D70A0E70A78ED65/View/FullText.html?originationContext=document&amp;transitionType=DocumentItem&amp;ppcid=885390ad78e24d0a96c524fa5a556537&amp;contextData=(sc.Search)" TargetMode="External"/><Relationship Id="rId30" Type="http://schemas.openxmlformats.org/officeDocument/2006/relationships/hyperlink" Target="https://uk.westlaw.com/Document/I449D50F1E45311DA8D70A0E70A78ED65/View/FullText.html?originationContext=document&amp;transitionType=DocumentItem&amp;ppcid=fa938b4c83a74040a8f3ee5ff8167881&amp;contextData=(sc.Search)" TargetMode="External"/><Relationship Id="rId35" Type="http://schemas.openxmlformats.org/officeDocument/2006/relationships/header" Target="header5.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uk.westlaw.com/Document/I44A12180E45311DA8D70A0E70A78ED65/View/FullText.html?originationContext=document&amp;transitionType=DocumentItem&amp;ppcid=be25842ec29d4ee4bb6687a473ec8e6f&amp;contextData=(sc.Search)" TargetMode="External"/><Relationship Id="rId25" Type="http://schemas.openxmlformats.org/officeDocument/2006/relationships/hyperlink" Target="https://uk.westlaw.com/Document/I449D50F1E45311DA8D70A0E70A78ED65/View/FullText.html?originationContext=document&amp;transitionType=DocumentItem&amp;ppcid=50726c8891c44f87bae95afbe73c5b2e&amp;contextData=(sc.Search)" TargetMode="External"/><Relationship Id="rId33" Type="http://schemas.openxmlformats.org/officeDocument/2006/relationships/hyperlink" Target="https://uk.westlaw.com/Document/I44A12180E45311DA8D70A0E70A78ED65/View/FullText.html?originationContext=document&amp;transitionType=DocumentItem&amp;ppcid=048e3c895459448d987a2810a2507c2b&amp;contextData=(sc.DocLink)" TargetMode="External"/><Relationship Id="rId38"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757F2BA357854E9807447FDB5B22C7" ma:contentTypeVersion="9" ma:contentTypeDescription="Create a new document." ma:contentTypeScope="" ma:versionID="8f7e4c5c262b2658d4446d71ca1b6f4e">
  <xsd:schema xmlns:xsd="http://www.w3.org/2001/XMLSchema" xmlns:xs="http://www.w3.org/2001/XMLSchema" xmlns:p="http://schemas.microsoft.com/office/2006/metadata/properties" xmlns:ns3="af92f8fd-8204-4338-85a1-e67837882663" targetNamespace="http://schemas.microsoft.com/office/2006/metadata/properties" ma:root="true" ma:fieldsID="01b4b9c11d4fd85d55720cfb419aaddb" ns3:_="">
    <xsd:import namespace="af92f8fd-8204-4338-85a1-e678378826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2f8fd-8204-4338-85a1-e67837882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2D12A5-8BC3-4213-A45B-5EAEAE3F47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1EBDD4-8174-4F97-85CC-6CF98AA54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92f8fd-8204-4338-85a1-e678378826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2257D7-0FFA-47FC-8BC6-066B5D59DE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6080</Words>
  <Characters>34657</Characters>
  <Application>Microsoft Office Word</Application>
  <DocSecurity>4</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Behrens</dc:creator>
  <cp:keywords/>
  <dc:description/>
  <cp:lastModifiedBy>Ranjit Bhose</cp:lastModifiedBy>
  <cp:revision>2</cp:revision>
  <cp:lastPrinted>2022-07-15T10:35:00Z</cp:lastPrinted>
  <dcterms:created xsi:type="dcterms:W3CDTF">2022-07-15T10:36:00Z</dcterms:created>
  <dcterms:modified xsi:type="dcterms:W3CDTF">2022-07-15T10:36:00Z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0x010100FA757F2BA357854E9807447FDB5B22C7</vt:lpwstr>
  </property>
</Properties>
</file>